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технологических машин и оборудования»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транспортных и технологических машин и оборудования.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А.П. Соколов,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Костюкевич, кандидат технических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и принципы,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современное аппаратное и программное обеспечение для решения задач профессиональной деятельности;</w:t>
            </w:r>
          </w:p>
          <w:p/>
          <w:p>
            <w:pPr/>
            <w:r>
              <w:rPr/>
              <w:t xml:space="preserve">ОПК-4.3. Владеет навыками использования современных информационно-коммуникационных технологий при решении типовых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Информатика, Математические методы и модели в расчетах на ЭВМ, Теория принятия оптимальных решений.</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23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25</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массового обслуживания как инструмент анализа производственных процессов</w:t>
            </w:r>
          </w:p>
        </w:tc>
        <w:tc>
          <w:tcPr>
            <w:noWrap/>
          </w:tcPr>
          <w:p>
            <w:pPr>
              <w:jc w:val="left"/>
              <w:ind w:left="0" w:right="0" w:firstLine="0" w:hanging="0"/>
            </w:pPr>
            <w:r>
              <w:rPr/>
              <w:t xml:space="preserve">15</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29</w:t>
            </w:r>
          </w:p>
        </w:tc>
        <w:tc>
          <w:tcPr>
            <w:noWrap/>
          </w:tcPr>
          <w:p>
            <w:pPr>
              <w:jc w:val="left"/>
              <w:ind w:left="0" w:right="0" w:firstLine="0" w:hanging="0"/>
            </w:pPr>
            <w:r>
              <w:rPr/>
              <w:t xml:space="preserve">Контрольная работа; Лабораторная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Параметры и характеристики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Атрибуты и отчеты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Модели ветвящихся и многовариантных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Создание имитационной модели заданного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Выполнение имитационной модели и анализ результатов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11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Параметры и характеристики систем масового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Сети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43</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34 часа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https://moodle2.petrsu.ru/. Перед изучением курса каждый студент регистрируется на сайте ПетрГУ  https://moodle2.petrsu.ru/.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 Наибольшее влияние (50% оценки) оказывает финальный тест, выполняемый студентами на экзамене.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№2 "Атрибуты и отчеты"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№3 "Модели ветвящихся и многовариантных процессов"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№5 "Создание имитационной модели заданного процесса"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Каждый студент получает индивидуальное задание, содержащее описание одного из производственных процессов, и выполняет по данному описанию построение имитационной модели в форме сети Петри.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№6 "Выполнение имитационной модели и анализ результатов"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В ходе работы осуществляется имитационный эксперимент с моделью, построенной входе лабораторной работы №5, анализируются полученные результаты.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numPr>
          <w:ilvl w:val="0"/>
          <w:numId w:val="1"/>
        </w:numPr>
      </w:pPr>
      <w:r>
        <w:rPr/>
        <w:t xml:space="preserve">Найти составную матрицу изменений для сети s1.</w:t>
      </w:r>
    </w:p>
    <w:p>
      <w:pPr>
        <w:numPr>
          <w:ilvl w:val="0"/>
          <w:numId w:val="1"/>
        </w:numPr>
      </w:pPr>
      <w:r>
        <w:rPr/>
        <w:t xml:space="preserve">Составить граф сети Петри, соответствующий матрице s2.</w:t>
      </w:r>
    </w:p>
    <w:p>
      <w:pPr>
        <w:numPr>
          <w:ilvl w:val="0"/>
          <w:numId w:val="1"/>
        </w:numPr>
      </w:pPr>
      <w:r>
        <w:rPr/>
        <w:t xml:space="preserve">Найти составную матрицу изменений и составить граф объединения сетей.</w:t>
      </w:r>
    </w:p>
    <w:p>
      <w:pPr>
        <w:numPr>
          <w:ilvl w:val="0"/>
          <w:numId w:val="1"/>
        </w:numPr>
      </w:pPr>
      <w:r>
        <w:rPr/>
        <w:t xml:space="preserve">Найти составную матрицу изменений и составить граф пересечения сетей.</w:t>
      </w:r>
    </w:p>
    <w:p>
      <w:pPr>
        <w:numPr>
          <w:ilvl w:val="0"/>
          <w:numId w:val="1"/>
        </w:numPr>
      </w:pPr>
      <w:r>
        <w:rPr/>
        <w:t xml:space="preserve">Найти составную матрицу изменений и составить граф разности сетей .</w:t>
      </w:r>
    </w:p>
    <w:p>
      <w:pPr/>
      <w:r>
        <w:rPr/>
        <w:t xml:space="preserve">Граф сети s1:</w:t>
      </w:r>
    </w:p>
    <w:p>
      <w:pPr/>
      <w:r>
        <w:rPr/>
        <w:t xml:space="preserve"> </w:t>
      </w:r>
    </w:p>
    <w:p>
      <w:pPr/>
      <w:r>
        <w:rPr/>
        <w:t xml:space="preserve">Определить интенсивность обслуживания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w:t>
      </w:r>
      <w:hyperlink r:id="rId7" w:history="1">
        <w:r>
          <w:rPr/>
          <w:t xml:space="preserve">https://moodle2.petrsu.ru/</w:t>
        </w:r>
      </w:hyperlink>
    </w:p>
    <w:p>
      <w:pPr/>
      <w:r>
        <w:rPr/>
        <w:t xml:space="preserve"> </w:t>
      </w:r>
    </w:p>
    <w:p>
      <w:pPr/>
      <w:r>
        <w:rPr/>
        <w:t xml:space="preserve">Пример тестового вопроса:</w:t>
      </w:r>
    </w:p>
    <w:p>
      <w:pPr/>
      <w:r>
        <w:rPr/>
        <w:t xml:space="preserve"> </w:t>
      </w:r>
    </w:p>
    <w:p>
      <w:pPr/>
      <w:r>
        <w:rPr/>
        <w:t xml:space="preserve">Какое понятие является синонимом понятия "реинжиниринг"?</w:t>
      </w:r>
    </w:p>
    <w:p>
      <w:pPr/>
      <w:r>
        <w:rPr/>
        <w:t xml:space="preserve"> </w:t>
      </w:r>
    </w:p>
    <w:tbl>
      <w:tblGrid>
        <w:gridCol/>
        <w:gridCol w:w="690" w:type="dxa"/>
        <w:gridCol/>
      </w:tblGrid>
      <w:tblPr>
        <w:tblW w:w="0" w:type="auto"/>
        <w:tblLayout w:type="autofit"/>
      </w:tblPr>
      <w:tr>
        <w:trPr/>
        <w:tc>
          <w:tcPr>
            <w:noWrap/>
          </w:tcPr>
          <w:p>
            <w:pPr/>
            <w:r>
              <w:rPr/>
              <w:t xml:space="preserve"> </w:t>
            </w:r>
          </w:p>
        </w:tc>
        <w:tc>
          <w:tcPr>
            <w:tcW w:w="690" w:type="dxa"/>
            <w:noWrap/>
          </w:tcPr>
          <w:p>
            <w:pPr/>
            <w:r>
              <w:rPr/>
              <w:t xml:space="preserve">a.</w:t>
            </w:r>
          </w:p>
        </w:tc>
        <w:tc>
          <w:tcPr>
            <w:noWrap/>
          </w:tcPr>
          <w:p>
            <w:pPr/>
            <w:r>
              <w:rPr/>
              <w:t xml:space="preserve">Кардинальное совершенствование  </w:t>
            </w:r>
          </w:p>
        </w:tc>
      </w:tr>
      <w:tr>
        <w:trPr/>
        <w:tc>
          <w:tcPr>
            <w:noWrap/>
          </w:tcPr>
          <w:p>
            <w:pPr/>
            <w:r>
              <w:rPr/>
              <w:t xml:space="preserve"> </w:t>
            </w:r>
          </w:p>
        </w:tc>
        <w:tc>
          <w:tcPr>
            <w:tcW w:w="690" w:type="dxa"/>
            <w:noWrap/>
          </w:tcPr>
          <w:p>
            <w:pPr/>
            <w:r>
              <w:rPr/>
              <w:t xml:space="preserve">b.</w:t>
            </w:r>
          </w:p>
        </w:tc>
        <w:tc>
          <w:tcPr>
            <w:noWrap/>
          </w:tcPr>
          <w:p>
            <w:pPr/>
            <w:r>
              <w:rPr/>
              <w:t xml:space="preserve">Постепенное совершенствование  </w:t>
            </w:r>
          </w:p>
        </w:tc>
      </w:tr>
      <w:tr>
        <w:trPr/>
        <w:tc>
          <w:tcPr>
            <w:noWrap/>
          </w:tcPr>
          <w:p>
            <w:pPr/>
            <w:r>
              <w:rPr/>
              <w:t xml:space="preserve"> </w:t>
            </w:r>
          </w:p>
        </w:tc>
        <w:tc>
          <w:tcPr>
            <w:tcW w:w="690" w:type="dxa"/>
            <w:noWrap/>
          </w:tcPr>
          <w:p>
            <w:pPr/>
            <w:r>
              <w:rPr/>
              <w:t xml:space="preserve">c.</w:t>
            </w:r>
          </w:p>
        </w:tc>
        <w:tc>
          <w:tcPr>
            <w:noWrap/>
          </w:tcPr>
          <w:p>
            <w:pPr/>
            <w:r>
              <w:rPr/>
              <w:t xml:space="preserve">Методология управления процессами  </w:t>
            </w:r>
          </w:p>
        </w:tc>
      </w:tr>
    </w:tbl>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 </w:t>
      </w:r>
    </w:p>
    <w:p>
      <w:pPr/>
      <w:r>
        <w:rPr/>
        <w:t xml:space="preserve">Пример тестового вопроса:</w:t>
      </w:r>
    </w:p>
    <w:p>
      <w:pPr/>
      <w:r>
        <w:rPr/>
        <w:t xml:space="preserve"> </w:t>
      </w:r>
    </w:p>
    <w:p>
      <w:pPr/>
      <w:r>
        <w:rPr/>
        <w:t xml:space="preserve">Сколько уровней содержит обобщенная схема управления процессами?</w:t>
      </w:r>
    </w:p>
    <w:tbl>
      <w:tblGrid>
        <w:gridCol/>
        <w:gridCol w:w="690" w:type="dxa"/>
        <w:gridCol w:w="2475" w:type="dxa"/>
      </w:tblGrid>
      <w:tblPr>
        <w:tblW w:w="0" w:type="auto"/>
        <w:tblLayout w:type="autofit"/>
      </w:tblPr>
      <w:tr>
        <w:trPr/>
        <w:tc>
          <w:tcPr>
            <w:noWrap/>
          </w:tcPr>
          <w:p>
            <w:pPr/>
            <w:r>
              <w:rPr/>
              <w:t xml:space="preserve"> </w:t>
            </w:r>
          </w:p>
        </w:tc>
        <w:tc>
          <w:tcPr>
            <w:tcW w:w="690" w:type="dxa"/>
            <w:noWrap/>
          </w:tcPr>
          <w:p>
            <w:pPr/>
            <w:r>
              <w:rPr/>
              <w:t xml:space="preserve">a.</w:t>
            </w:r>
          </w:p>
        </w:tc>
        <w:tc>
          <w:tcPr>
            <w:tcW w:w="2475" w:type="dxa"/>
            <w:noWrap/>
          </w:tcPr>
          <w:p>
            <w:pPr/>
            <w:r>
              <w:rPr/>
              <w:t xml:space="preserve">2  </w:t>
            </w:r>
          </w:p>
        </w:tc>
      </w:tr>
      <w:tr>
        <w:trPr/>
        <w:tc>
          <w:tcPr>
            <w:noWrap/>
          </w:tcPr>
          <w:p>
            <w:pPr/>
            <w:r>
              <w:rPr/>
              <w:t xml:space="preserve"> </w:t>
            </w:r>
          </w:p>
        </w:tc>
        <w:tc>
          <w:tcPr>
            <w:tcW w:w="690" w:type="dxa"/>
            <w:noWrap/>
          </w:tcPr>
          <w:p>
            <w:pPr/>
            <w:r>
              <w:rPr/>
              <w:t xml:space="preserve">b.</w:t>
            </w:r>
          </w:p>
        </w:tc>
        <w:tc>
          <w:tcPr>
            <w:tcW w:w="2475" w:type="dxa"/>
            <w:noWrap/>
          </w:tcPr>
          <w:p>
            <w:pPr/>
            <w:r>
              <w:rPr/>
              <w:t xml:space="preserve">3  </w:t>
            </w:r>
          </w:p>
        </w:tc>
      </w:tr>
      <w:tr>
        <w:trPr/>
        <w:tc>
          <w:tcPr>
            <w:noWrap/>
          </w:tcPr>
          <w:p>
            <w:pPr/>
            <w:r>
              <w:rPr/>
              <w:t xml:space="preserve"> </w:t>
            </w:r>
          </w:p>
        </w:tc>
        <w:tc>
          <w:tcPr>
            <w:tcW w:w="690" w:type="dxa"/>
            <w:noWrap/>
          </w:tcPr>
          <w:p>
            <w:pPr/>
            <w:r>
              <w:rPr/>
              <w:t xml:space="preserve">c.</w:t>
            </w:r>
          </w:p>
        </w:tc>
        <w:tc>
          <w:tcPr>
            <w:tcW w:w="2475" w:type="dxa"/>
            <w:noWrap/>
          </w:tcPr>
          <w:p>
            <w:pPr/>
            <w:r>
              <w:rPr/>
              <w:t xml:space="preserve">4  </w:t>
            </w:r>
          </w:p>
        </w:tc>
      </w:tr>
      <w:tr>
        <w:trPr/>
        <w:tc>
          <w:tcPr>
            <w:noWrap/>
          </w:tcPr>
          <w:p>
            <w:pPr/>
            <w:r>
              <w:rPr/>
              <w:t xml:space="preserve"> </w:t>
            </w:r>
          </w:p>
        </w:tc>
        <w:tc>
          <w:tcPr>
            <w:tcW w:w="690" w:type="dxa"/>
            <w:noWrap/>
          </w:tcPr>
          <w:p>
            <w:pPr/>
            <w:r>
              <w:rPr/>
              <w:t xml:space="preserve">d.</w:t>
            </w:r>
          </w:p>
        </w:tc>
        <w:tc>
          <w:tcPr>
            <w:tcW w:w="2475" w:type="dxa"/>
            <w:noWrap/>
          </w:tcPr>
          <w:p>
            <w:pPr/>
            <w:r>
              <w:rPr/>
              <w:t xml:space="preserve">5  </w:t>
            </w:r>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экзамен.</w:t>
      </w:r>
    </w:p>
    <w:p>
      <w:pPr/>
      <w:r>
        <w:rPr/>
        <w:t xml:space="preserve">Лекции проходят с начала семестра еженедельно. Лабораторные занятия проходят раз в две недели в компьютерном классе. Три задачи контрольной работы выполняются в течение семестра по мере освоения необходимого материала. Кроме того, предполагается промежуточное тестирование, проводимое на одном из лабораторном занятии или дистанционно.</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«Мои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r>
        <w:rPr/>
        <w:t xml:space="preserve"> </w:t>
      </w: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r>
        <w:rPr/>
        <w:t xml:space="preserve">Контрольные работы выполняются на листах А4 и оформляются в соответствии с СО ПетрГУ 001-19.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еженедельно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4 и 5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семестра на лекциях проводится контроль посещаемости.  Число пропусков заносится в систему учета работы студентов Moodle и влияет на окончательную оценку.</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проходят раз в две недели. Занятия проводятся в компьютерном классе (ауд. 212). На компьютерах должны быть установлены пакеты программ ARIS, HPSim, Excel и Word.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контрольные работы. Остальные факторы оказывают меньшее влияние (см. выше).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Петрозаводск : Изд-во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w:t>
      </w:r>
      <w:hyperlink r:id="rId8" w:history="1">
        <w:r>
          <w:rPr/>
          <w:t xml:space="preserve">http://elibrary.karelia.ru/</w:t>
        </w:r>
      </w:hyperlink>
    </w:p>
    <w:p>
      <w:pPr>
        <w:numPr>
          <w:ilvl w:val="0"/>
          <w:numId w:val="4"/>
        </w:numPr>
      </w:pPr>
      <w:r>
        <w:rPr/>
        <w:t xml:space="preserve">Электронная библиотечная система «Университетская библиотека онлайн» http://biblioclub.ru/</w:t>
      </w:r>
    </w:p>
    <w:p>
      <w:pPr>
        <w:numPr>
          <w:ilvl w:val="0"/>
          <w:numId w:val="4"/>
        </w:numPr>
      </w:pPr>
      <w:r>
        <w:rPr/>
        <w:t xml:space="preserve">Электронная библиотечная система «Консультант студента. Студенческая электронная библиотека» http://www.studentlibrary.ru</w:t>
      </w:r>
    </w:p>
    <w:p>
      <w:pPr/>
      <w:r>
        <w:rPr/>
        <w:t xml:space="preserve">другие базы данных, размещенные на сайте Научной библиотеки ПетрГУ в разделе «Электронные журналы и базы данных» </w:t>
      </w:r>
      <w:hyperlink r:id="rId9" w:history="1">
        <w:r>
          <w:rPr/>
          <w:t xml:space="preserve">http://library.petrsu.ru/collections/bd.shtml</w:t>
        </w:r>
      </w:hyperlink>
      <w:r>
        <w:rPr/>
        <w:t xml:space="preserve"> .</w:t>
      </w:r>
    </w:p>
    <w:p>
      <w:pPr>
        <w:numPr>
          <w:ilvl w:val="0"/>
          <w:numId w:val="5"/>
        </w:numPr>
      </w:pPr>
      <w:r>
        <w:rPr/>
        <w:t xml:space="preserve">Пакет программ ARISToolset 5.0</w:t>
      </w:r>
    </w:p>
    <w:p>
      <w:pPr>
        <w:numPr>
          <w:ilvl w:val="0"/>
          <w:numId w:val="5"/>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w:t>
        </w:r>
      </w:hyperlink>
    </w:p>
    <w:p>
      <w:pPr>
        <w:numPr>
          <w:ilvl w:val="0"/>
          <w:numId w:val="6"/>
        </w:numPr>
      </w:pPr>
      <w:r>
        <w:rPr/>
        <w:t xml:space="preserve">Рабочая программа дисциплины «Моделирование производственных процессов»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13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545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947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0B3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1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02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51A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6A9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 Id="rId8" Type="http://schemas.openxmlformats.org/officeDocument/2006/relationships/hyperlink" Target="http://elibrary.karelia.ru/" TargetMode="External"/><Relationship Id="rId9"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2026-04-21T06:03:09+03:00</dcterms:created>
  <dcterms:modified xsi:type="dcterms:W3CDTF">2026-04-21T06:03:09+03:00</dcterms:modified>
</cp:coreProperties>
</file>

<file path=docProps/custom.xml><?xml version="1.0" encoding="utf-8"?>
<Properties xmlns="http://schemas.openxmlformats.org/officeDocument/2006/custom-properties" xmlns:vt="http://schemas.openxmlformats.org/officeDocument/2006/docPropsVTypes"/>
</file>