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Научно-исследовательская работа (получение первичных навыков научно-исследовательской работы) (НОИ), Информационные технологии в образовании (О), Естественнонаучная картина мира (О), Диалектологическая практика (О), Практикум по литературе (НОИ), Литературное редактирование (И), Библиография (+), Педагогическая практика (О), Общее языкознание (О), Основы палеорусистики (О), Старославянский язык (О), Теория литературы (ОИ), Текстология (ОИ), История русской литературной критики (О), Учебная практика по получению первичных профессиональных умений и навыков, в том числе первичных умений и навыков научно-исследовательской деятельности (О), Подготовка к сдаче и сдача государственного экзамена (И), Философия (О), История русского литературного языка (О), Выполнение и защита выпускной квалификационной работы (И), Мифология (+), Современный русский язык (НО),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Русский язык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Библиография (+), Русская диалектология (О), Основы палеорусистики (О), Методика подготовки к ОГЭ и ЕГЭ (И), Прикладная лингвистика (О), Практикум по культуре речи и деловому общению (И), Подготовка к сдаче и сдача государственного экзамена (И), Учебная проектно-технологическая практика (О), Практикум по орфографии и пунктуации (О), История русского искусства (И), Методика преподавания русского языка как иностранного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Русский язык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Русский язык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Русский язык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/>
    <w:p>
      <w:pPr/>
      <w:r>
        <w:rPr/>
        <w:t xml:space="preserve">Эссе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2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2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2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2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2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56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45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A75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