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информатики и математического обеспечения.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Ю.А. Богоявленский,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(получение первичных навыков научно-исследовательской работы)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общекультурных, общепрофессиональных и профессиональных компетенций обучающихся в сфере научной деятельности, закрепление, систематизация и расширение теоретических и практических знаний у обучающихся в профессиональной сфере; развитие у обучающихся навыков самостоятельной работы и применения методов исследования; получение опыта работы с научным руководителем, получение опыта выполнения научного исследования.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проведение исследования по выбранной тематике (формулировка проблемы, поиск, изучение, анализ литературы, решение поставленных задач, формулировка выводов);</w:t>
      </w:r>
    </w:p>
    <w:p>
      <w:pPr>
        <w:numPr>
          <w:ilvl w:val="0"/>
          <w:numId w:val="1"/>
        </w:numPr>
      </w:pPr>
      <w:r>
        <w:rPr/>
        <w:t xml:space="preserve">оформление отчета о результатах исследования (изучение нормативных требований, формирование структуры и содержания, написание текста, формирование списка использованных источников, оформление приложений, форматирование).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Форма проведения практики: дискретная рассредоточенная.</w:t>
      </w:r>
    </w:p>
    <w:p>
      <w:pPr/>
      <w:r>
        <w:rPr/>
        <w:t xml:space="preserve">Места проведения практики:</w:t>
      </w:r>
    </w:p>
    <w:p>
      <w:pPr>
        <w:numPr>
          <w:ilvl w:val="0"/>
          <w:numId w:val="2"/>
        </w:numPr>
      </w:pPr>
      <w:r>
        <w:rPr/>
        <w:t xml:space="preserve">кафедры ПетрГУ: кафедра теории вероятностей и анализа данных, кафедра прикладной математики и кибернетики, кафедра информатики и математического обеспечения;</w:t>
      </w:r>
    </w:p>
    <w:p>
      <w:pPr>
        <w:numPr>
          <w:ilvl w:val="0"/>
          <w:numId w:val="2"/>
        </w:numPr>
      </w:pPr>
      <w:r>
        <w:rPr/>
        <w:t xml:space="preserve">Центры ПетрГУ: Региональный центр новых информационных технологий, Центр Систем Автоматизации, Центр бюджетного мониторинга;</w:t>
      </w:r>
    </w:p>
    <w:p>
      <w:pPr>
        <w:numPr>
          <w:ilvl w:val="0"/>
          <w:numId w:val="2"/>
        </w:numPr>
      </w:pPr>
      <w:r>
        <w:rPr/>
        <w:t xml:space="preserve">Институт прикладных математических исследований КарНЦ РАН;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В профильных организациях практика проводится на основе действующих договоров. Функции руководителей практики от ПетрГУ и профильной организации устанавливаются статьями 10-12 Положения о практике обучающихся, осваивающих основные профессиональные образовательные программы высшего образования в Петрозаводском государственном университете </w:t>
      </w:r>
      <w:hyperlink r:id="rId7" w:history="1">
        <w:r>
          <w:rPr/>
          <w:t xml:space="preserve">https://petrsu.ru/docs/counter/8669</w:t>
        </w:r>
      </w:hyperlink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Математический анализ (НО), Линейная алгебра (Н), Философия (О), Дискретная  математика (О), Аналитическая геометрия (О), Теория вероятностей и математическая статистика (О), Технология производства программного обеспечения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(И), Библиография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Технология производства программного обеспечения (НО), Выполнение и защита выпускной квалификационной работы (И),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Технология производства программного обеспечения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Иностранный язык (НО), Выполнение и защита выпускной квалификационной работы (И), Деловые коммуникации (О),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Философия (О), Выполнение и защита выпускной квалификационной работы (И), История России (НО),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Выполнение и защита выпускной квалификационной работы (И), Учебная проектно-технологическая практика по ТППО (Н), Научно-исследовательская работа (ОИ),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Математический анализ (НО), Линейная алгебра (Н), Дискретная  математика (О), Аналитическая геометрия (О), Теория вероятностей и математическая статистика (О), Исследование операций (О), Имитационное моделирование (О), Программирование микропроцессоров (О), Автоматическая обработка текста (О), Основы теории управления (+), Выполнение и защита выпускной квалификационной работы (И), Анализ данных на Python (О), Криптографические средства защиты информации (О), Научно-исследовательская работа (ОИ), Учебная практика (О), Подготовка к сдаче и сдача государственного экзамена (И), Основы компьютерного зрения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методы базовых естественнонаучных и инженерных дисциплин.
ОПК-1.2. Знает методы математического анализа и моделирования объектов профессиональной деятельности.
ОПК-1.3. Умеет применять методы решения типовых задач из различных разделов математики для исследования математических объектов и моделей,
ОПК-1.4. Умеет выбирать адекватный метод решения задачи, оценивать сложность ее решения.
ОПК-1.5.  Владеет методами построения математических моделей и содержательной интерпретации полученных результатов.
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Введение в архитектуру ЭВМ (О), Операционные системы (О), Численные методы (О), Компьютерные сети (О), Программирование микропроцессоров (О), Администрирование информационных систем (О), Выполнение и защита выпускной квалификационной работы (И), Информационные системы в бизнесе и управлении (О),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
ОПК-2.2. Знает принципы организации вычислительных сетей, основы архитектуры вычислительных сетей, основы построения сетевых протоколов;
ОПК-2.3. Знает принципы работы, назначение и функции прикладного программного обеспечения;
ОПК-2.4. Умеет применять прикладное программное обеспечение при решении профессиональных задач;
ОПК-2.5. Владеет навыками работы с компьютерными сетями и сетевыми приложениями;
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информатики и программирования (НО), Компьютерная графика (О), Алгоритмы и структуры данных (О), Численные методы (О), Информационная безопасность и защита информации (О), Web-технологии (О), Объектно-ориентированное программирование (О), Кибериммунная методология разработки ПО (О), Выполнение и защита выпускной квалификационной работы (И), Криптографические средства защиты информации (О), Мультимедиа-технологии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информатики.
ОПК-3.2. Знает принципы организации, хранения, представления данных.
ОПК-3.3. Знает методы поиска, сбора, хранения, обработки, предоставления, передачи информации.
ОПК-3.4. Знает принципы информационной безопасности.
ОПК-3.5. Умеет выбирать и использовать методы и технологии поиска, сбора, хранения, обработки, предоставления, передачи информации.
ОПК-3.6.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комплекс государственных стандартов Российской Федерации, устанавливающих взаи-мосвязанные правила разработки, оформления и обращения программ и программной документации (Единая система программной документации (ЕСПД)).
ОПК-4.2. Знает методологии описания программного обеспечения (UML, IDEF, ERD и др.).
ОПК-4.3. Умеет писать технические тексты (документацию, отчеты).
ОПК-4.4. Умеет оформлять документы в соответствии с требованиями.
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систем.
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Введение в архитектуру ЭВМ (Н), Операционные системы (О), Компьютерные сети (О), Программирование микропроцессоров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ОС.
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систем.
ОПК-5.3. Умеет настраивать конкретные конфигурации операционных систем.
ОПК-5.4. Владеет навыками работы с различными операционными системами и их администрирования.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основы программирования; языки программирования; методы разработки алгоритмов и программ.
ОПК-6.2. Умеет разрабатывать алгоритмы и программы; работать в средах для разработки программ.
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выбор платформ и инструментальных программно-аппаратных средств для реализации информационных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Основы информатики и программирования (НО), Введение в архитектуру ЭВМ (О), Операционные системы (О), Алгоритмы и структуры данных (О), Компьютерные сети (О), Информационная безопасность и защита информации (О), Web-технологии (О), Объектно-ориентированное программирование (О), Выполнение и защита выпускной квалификационной работы (И),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принципы работы и функции инструментальных программно-аппаратных средств для реализации информационных систем.
ОПК-7.2. Умеет выбирать и применять инструментальные программно-аппаратные средства для реа-лизации информационных систем.
ОПК-7.3. Владеет навыками работы с инструментальными программно-аппаратными средствами для реализации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Исследование операций (О), Имитационное моделирование (О), Выполнение и защита выпускной квалификационной работы (И), Анализ данных на Python (О), Научно-исследовательская работа (ОИ), Учебная практика (О), Подготовка к сдаче и сдача государственного экзамена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основы построения математических моделей.
ОПК-8.2. Знает общие принципы приближенного решения типовых математических задач.
ОПК-8.3. Знает основные типы экстремальных задач.
ОПК-8.4. Знает основы и средства проектирования информационных и автоматизированных систем.
ОПК-8.5. Умеет строить модели объектов и процессов.
ОПК-8.6. Умеет применять методы и средства проектирования информационных и автоматизированных систем.
ОПК-8.7. Владеет навыками построения моделей.
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72, 82, 8, 92, 10, 102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7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семестр 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семестр 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10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отчета, презентации и доклада.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презентации и доклада.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Научно-исследовательская работа проходит в форме самостоятельной работы на основе заданий, сформулированных научным руководителем,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интернет-ресурсами для поиска и систематизации научных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тематике исследования;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разработку программного обеспечения;</w:t>
      </w:r>
    </w:p>
    <w:p>
      <w:pPr>
        <w:numPr>
          <w:ilvl w:val="0"/>
          <w:numId w:val="3"/>
        </w:numPr>
      </w:pPr>
      <w:r>
        <w:rPr/>
        <w:t xml:space="preserve">сборку и настройку аппаратного обеспечения;</w:t>
      </w:r>
    </w:p>
    <w:p>
      <w:pPr>
        <w:numPr>
          <w:ilvl w:val="0"/>
          <w:numId w:val="3"/>
        </w:numPr>
      </w:pPr>
      <w:r>
        <w:rPr/>
        <w:t xml:space="preserve">решение профессиональных задач;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научно-исследовательских семинарах;</w:t>
      </w:r>
    </w:p>
    <w:p>
      <w:pPr>
        <w:numPr>
          <w:ilvl w:val="0"/>
          <w:numId w:val="3"/>
        </w:numPr>
      </w:pPr>
      <w:r>
        <w:rPr/>
        <w:t xml:space="preserve">подготовку докладов и выступлений на научных конференциях, семинарах, симпозиумах;</w:t>
      </w:r>
    </w:p>
    <w:p>
      <w:pPr>
        <w:numPr>
          <w:ilvl w:val="0"/>
          <w:numId w:val="3"/>
        </w:numPr>
      </w:pPr>
      <w:r>
        <w:rPr/>
        <w:t xml:space="preserve">участие в конкурсах научно-исследовательских работ;</w:t>
      </w:r>
    </w:p>
    <w:p>
      <w:pPr>
        <w:numPr>
          <w:ilvl w:val="0"/>
          <w:numId w:val="3"/>
        </w:numPr>
      </w:pPr>
      <w:r>
        <w:rPr/>
        <w:t xml:space="preserve">подготовку и публикацию научных статей;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научно-исследовательской и научно-проектной работе подразделений университета.</w:t>
      </w:r>
    </w:p>
    <w:p>
      <w:pPr/>
      <w:r>
        <w:rPr/>
        <w:t xml:space="preserve"> </w:t>
      </w:r>
    </w:p>
    <w:p>
      <w:pPr/>
      <w:r>
        <w:rPr/>
        <w:t xml:space="preserve">В ходе реализации учебной практики обучающихся используются следующие технологии:</w:t>
      </w:r>
    </w:p>
    <w:p>
      <w:pPr>
        <w:numPr>
          <w:ilvl w:val="0"/>
          <w:numId w:val="4"/>
        </w:numPr>
      </w:pPr>
      <w:r>
        <w:rPr/>
        <w:t xml:space="preserve">самостоятельная научно-исследовательская деятельность обучающегося;</w:t>
      </w:r>
    </w:p>
    <w:p>
      <w:pPr>
        <w:numPr>
          <w:ilvl w:val="0"/>
          <w:numId w:val="4"/>
        </w:numPr>
      </w:pPr>
      <w:r>
        <w:rPr/>
        <w:t xml:space="preserve">электронные библиотеки и интернет-ресурсы (подготовка научных обзоров и библиографии по выбранной тематике исследования);</w:t>
      </w:r>
    </w:p>
    <w:p>
      <w:pPr>
        <w:numPr>
          <w:ilvl w:val="0"/>
          <w:numId w:val="4"/>
        </w:numPr>
      </w:pPr>
      <w:r>
        <w:rPr/>
        <w:t xml:space="preserve">компьютерные технологии и программные продукты, необходимые для сбора и систематизации научной информации, проведения расчетов, определяемых тематикой исследований;</w:t>
      </w:r>
    </w:p>
    <w:p>
      <w:pPr>
        <w:numPr>
          <w:ilvl w:val="0"/>
          <w:numId w:val="4"/>
        </w:numPr>
      </w:pPr>
      <w:r>
        <w:rPr/>
        <w:t xml:space="preserve">консультирование студентов по вопросам выполнения индивидуальных заданий, подготовки отчета, подготовки доклада на научном семинаре;</w:t>
      </w:r>
    </w:p>
    <w:p>
      <w:pPr>
        <w:numPr>
          <w:ilvl w:val="0"/>
          <w:numId w:val="4"/>
        </w:numPr>
      </w:pPr>
      <w:r>
        <w:rPr/>
        <w:t xml:space="preserve">компьютерные технологии для подготовки текста отчетов и других материалов;</w:t>
      </w:r>
    </w:p>
    <w:p>
      <w:pPr>
        <w:numPr>
          <w:ilvl w:val="0"/>
          <w:numId w:val="4"/>
        </w:numPr>
      </w:pPr>
      <w:r>
        <w:rPr/>
        <w:t xml:space="preserve">мультимедийные технологии презентации научных и отчетных материалов;</w:t>
      </w:r>
    </w:p>
    <w:p>
      <w:pPr>
        <w:numPr>
          <w:ilvl w:val="0"/>
          <w:numId w:val="4"/>
        </w:numPr>
      </w:pPr>
      <w:r>
        <w:rPr/>
        <w:t xml:space="preserve">непосредственное участие обучающегося в решении научно-исследовательских задач кафедры, института;</w:t>
      </w:r>
    </w:p>
    <w:p>
      <w:pPr>
        <w:numPr>
          <w:ilvl w:val="0"/>
          <w:numId w:val="4"/>
        </w:numPr>
      </w:pPr>
      <w:r>
        <w:rPr/>
        <w:t xml:space="preserve">дискуссии в рамках научных семинаров и конференций.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Руководство практикой обучающегося осуществляет его научный руководитель. Он формулирует тему научного и/или научно-методического, и/или научно-проектного исследования, рекомендует основную и дополнительную литературу, проводит индивидуальные консультации, проверяет отчеты обучающегося о прохождении практики, оценивает полученные результаты исследования.</w:t>
      </w:r>
    </w:p>
    <w:p>
      <w:pPr/>
      <w:r>
        <w:rPr/>
        <w:t xml:space="preserve">Обучающемуся рекомендуется в начале семестра вместе с научным руководителем составить план работы на семестр. Еженедельно встречаться с научным руководителем для обсуждения полученных результатов и формулирования направлений дальнейших исследований.</w:t>
      </w:r>
    </w:p>
    <w:p>
      <w:pPr/>
      <w:r>
        <w:rPr/>
        <w:t xml:space="preserve">При подготовке отчета необходимо ознакомиться с правилами оформления отчетов о научно-исследовательской работе.</w:t>
      </w:r>
    </w:p>
    <w:p>
      <w:pPr/>
      <w:r>
        <w:rPr/>
        <w:t xml:space="preserve">Обучающийся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научно-исследовательской работе.</w:t>
      </w:r>
    </w:p>
    <w:p>
      <w:pPr/>
      <w:r>
        <w:rPr/>
        <w:t xml:space="preserve">В процессе прохождения практики осуществляется формирование навыков:</w:t>
      </w:r>
    </w:p>
    <w:p>
      <w:pPr>
        <w:numPr>
          <w:ilvl w:val="0"/>
          <w:numId w:val="5"/>
        </w:numPr>
      </w:pPr>
      <w:r>
        <w:rPr/>
        <w:t xml:space="preserve">работы с научной литературой (монографиями, статьями из сборников научных трудов, научных журналов и др.),</w:t>
      </w:r>
    </w:p>
    <w:p>
      <w:pPr>
        <w:numPr>
          <w:ilvl w:val="0"/>
          <w:numId w:val="5"/>
        </w:numPr>
      </w:pPr>
      <w:r>
        <w:rPr/>
        <w:t xml:space="preserve">составления аналитического, реферативного, библиографического обзоров по теме исследования,</w:t>
      </w:r>
    </w:p>
    <w:p>
      <w:pPr>
        <w:numPr>
          <w:ilvl w:val="0"/>
          <w:numId w:val="5"/>
        </w:numPr>
      </w:pPr>
      <w:r>
        <w:rPr/>
        <w:t xml:space="preserve">решения задач конкретной предметной области;</w:t>
      </w:r>
    </w:p>
    <w:p>
      <w:pPr>
        <w:numPr>
          <w:ilvl w:val="0"/>
          <w:numId w:val="5"/>
        </w:numPr>
      </w:pPr>
      <w:r>
        <w:rPr/>
        <w:t xml:space="preserve">выбора, изучения и использования специального программного обеспечения для исследования задач предметной области,</w:t>
      </w:r>
    </w:p>
    <w:p>
      <w:pPr>
        <w:numPr>
          <w:ilvl w:val="0"/>
          <w:numId w:val="5"/>
        </w:numPr>
      </w:pPr>
      <w:r>
        <w:rPr/>
        <w:t xml:space="preserve">выступления на научных семинарах и конференциях с представлением известных и собственных научных результатов,</w:t>
      </w:r>
    </w:p>
    <w:p>
      <w:pPr>
        <w:numPr>
          <w:ilvl w:val="0"/>
          <w:numId w:val="5"/>
        </w:numPr>
      </w:pPr>
      <w:r>
        <w:rPr/>
        <w:t xml:space="preserve">ясного изложения в письменной форме тех или иных теоретических вопросов;</w:t>
      </w:r>
    </w:p>
    <w:p>
      <w:pPr>
        <w:numPr>
          <w:ilvl w:val="0"/>
          <w:numId w:val="5"/>
        </w:numPr>
      </w:pPr>
      <w:r>
        <w:rPr/>
        <w:t xml:space="preserve">оформления необходимой документации, в том числе с использованием современных компьютерных технологий.</w:t>
      </w:r>
    </w:p>
    <w:p>
      <w:pPr/>
      <w:r>
        <w:rPr/>
        <w:t xml:space="preserve"> </w:t>
      </w:r>
    </w:p>
    <w:p>
      <w:pPr/>
      <w:r>
        <w:rPr/>
        <w:t xml:space="preserve">При работе с литературой рекомендуется использовать следующие виды записей:</w:t>
      </w:r>
    </w:p>
    <w:p>
      <w:pPr>
        <w:numPr>
          <w:ilvl w:val="0"/>
          <w:numId w:val="6"/>
        </w:numPr>
      </w:pPr>
      <w:r>
        <w:rPr/>
        <w:t xml:space="preserve">Конспект - краткая запись содержания научной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>
      <w:pPr>
        <w:numPr>
          <w:ilvl w:val="0"/>
          <w:numId w:val="6"/>
        </w:numPr>
      </w:pPr>
      <w:r>
        <w:rPr/>
        <w:t xml:space="preserve">Цитата – точное воспроизведение текста. Заключается в кавычки. Точно указывается страница источника.</w:t>
      </w:r>
    </w:p>
    <w:p>
      <w:pPr>
        <w:numPr>
          <w:ilvl w:val="0"/>
          <w:numId w:val="6"/>
        </w:numPr>
      </w:pPr>
      <w:r>
        <w:rPr/>
        <w:t xml:space="preserve">Тезисы – концентрированное изложение основных положений прочитанного материала.</w:t>
      </w:r>
    </w:p>
    <w:p>
      <w:pPr>
        <w:numPr>
          <w:ilvl w:val="0"/>
          <w:numId w:val="6"/>
        </w:numPr>
      </w:pPr>
      <w:r>
        <w:rPr/>
        <w:t xml:space="preserve">Аннотация – очень краткое изложение содержания прочитанной работы.</w:t>
      </w:r>
    </w:p>
    <w:p>
      <w:pPr>
        <w:numPr>
          <w:ilvl w:val="0"/>
          <w:numId w:val="6"/>
        </w:numPr>
      </w:pPr>
      <w:r>
        <w:rPr/>
        <w:t xml:space="preserve">Резюме – наиболее общие выводы и положения работы, ее концептуальные итоги.</w:t>
      </w:r>
    </w:p>
    <w:p>
      <w:pPr/>
      <w:r>
        <w:rPr/>
        <w:t xml:space="preserve"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>
      <w:pPr/>
      <w:r>
        <w:rPr/>
        <w:t xml:space="preserve">Презентация должна обязательно содержать титульный (с тематикой НИР, сведениями об авторе и его научном руководителе) и заключительный (с результатами исследования) слайды, оформлена в едином стиле. Основную часть презентации составляют слайды, содержание которых соответствует ключевым вопросам проведенного исследования. Каждый слайд должен быть логически связан с предыдущим и последующим. Слайды должны содержать минимум текста (на каждом не более 10 строк). Математические формулы на слайдах должны быть с четким отображением всех входящих в нее знаков и символов. Наряду с сопровождающим текстом, необходимо использовать графический материал (рисунки, фотографии, схемы), что позволит разнообразить представляемый материал и обогатить доклад. Презентация может сопровождаться анимацией, что позволит повысить эффективность представления доклада. Все слайды должны быть пронумерованы.</w:t>
      </w:r>
    </w:p>
    <w:p>
      <w:pPr/>
      <w:r>
        <w:rPr/>
        <w:t xml:space="preserve">Выступающий должен хорошо знать материал по теме исследования,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 Общая оценка за доклад учитывает содержание доклада, его презентацию, а также ответы на вопросы.</w:t>
      </w:r>
    </w:p>
    <w:p>
      <w:pPr/>
      <w:r>
        <w:rPr/>
        <w:t xml:space="preserve">С целью учета выполнения работ, выполняемых в рамках учебной практики, обучающийся обязан зарегистрировать выбранную тему исследования в системе «Курс»: </w:t>
      </w:r>
      <w:hyperlink r:id="rId8" w:history="1">
        <w:r>
          <w:rPr/>
          <w:t xml:space="preserve">https://imit.petrsu.ru/page/kurs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/>
        <w:t xml:space="preserve">Для оценивания используются следующие показатели:</w:t>
      </w:r>
    </w:p>
    <w:p>
      <w:pPr>
        <w:numPr>
          <w:ilvl w:val="0"/>
          <w:numId w:val="7"/>
        </w:numPr>
      </w:pPr>
      <w:r>
        <w:rPr/>
        <w:t xml:space="preserve">Степень и уровень выполнения индивидуального задания, сформулированного научным руководителем.</w:t>
      </w:r>
    </w:p>
    <w:p>
      <w:pPr>
        <w:numPr>
          <w:ilvl w:val="0"/>
          <w:numId w:val="7"/>
        </w:numPr>
      </w:pPr>
      <w:r>
        <w:rPr/>
        <w:t xml:space="preserve">Уровень изложения (культура речи, аргументированность, уверенность).</w:t>
      </w:r>
    </w:p>
    <w:p>
      <w:pPr>
        <w:numPr>
          <w:ilvl w:val="0"/>
          <w:numId w:val="7"/>
        </w:numPr>
      </w:pPr>
      <w:r>
        <w:rPr/>
        <w:t xml:space="preserve">Ответы на вопросы: полнота, аргументированность, убежденность.</w:t>
      </w:r>
    </w:p>
    <w:p>
      <w:pPr>
        <w:numPr>
          <w:ilvl w:val="0"/>
          <w:numId w:val="7"/>
        </w:numPr>
      </w:pPr>
      <w:r>
        <w:rPr/>
        <w:t xml:space="preserve">Качество оформления текста выпускной квалификационной работы.</w:t>
      </w:r>
    </w:p>
    <w:p>
      <w:pPr>
        <w:numPr>
          <w:ilvl w:val="0"/>
          <w:numId w:val="7"/>
        </w:numPr>
      </w:pPr>
      <w:r>
        <w:rPr/>
        <w:t xml:space="preserve">Наличие презентации, подготовленной с использованием компьютерных технологий.</w:t>
      </w:r>
    </w:p>
    <w:p>
      <w:pPr>
        <w:numPr>
          <w:ilvl w:val="0"/>
          <w:numId w:val="7"/>
        </w:numPr>
      </w:pPr>
      <w:r>
        <w:rPr/>
        <w:t xml:space="preserve">Ответственное отношение к работе, готовность к дискуссии.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/>
      <w:r>
        <w:rPr/>
        <w:t xml:space="preserve"> </w:t>
      </w:r>
    </w:p>
    <w:p>
      <w:pPr/>
      <w:r>
        <w:rPr/>
        <w:t xml:space="preserve">Также текущий контроль по практике проводится научным руководителем в форме отчета о результатах научно-исследовательской работы в 3, 5, 7 семестрах.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/>
      <w:r>
        <w:rPr/>
        <w:t xml:space="preserve">Разделы отчета:</w:t>
      </w:r>
    </w:p>
    <w:p>
      <w:pPr>
        <w:numPr>
          <w:ilvl w:val="0"/>
          <w:numId w:val="8"/>
        </w:numPr>
      </w:pPr>
      <w:r>
        <w:rPr/>
        <w:t xml:space="preserve">Место прохождения практики.</w:t>
      </w:r>
    </w:p>
    <w:p>
      <w:pPr>
        <w:numPr>
          <w:ilvl w:val="0"/>
          <w:numId w:val="8"/>
        </w:numPr>
      </w:pPr>
      <w:r>
        <w:rPr/>
        <w:t xml:space="preserve">Период прохождения практики.</w:t>
      </w:r>
    </w:p>
    <w:p>
      <w:pPr>
        <w:numPr>
          <w:ilvl w:val="0"/>
          <w:numId w:val="8"/>
        </w:numPr>
      </w:pPr>
      <w:r>
        <w:rPr/>
        <w:t xml:space="preserve">Цель практики.</w:t>
      </w:r>
    </w:p>
    <w:p>
      <w:pPr>
        <w:numPr>
          <w:ilvl w:val="0"/>
          <w:numId w:val="8"/>
        </w:numPr>
      </w:pPr>
      <w:r>
        <w:rPr/>
        <w:t xml:space="preserve">Задачи научно-исследовательской работы</w:t>
      </w:r>
    </w:p>
    <w:p>
      <w:pPr>
        <w:numPr>
          <w:ilvl w:val="0"/>
          <w:numId w:val="8"/>
        </w:numPr>
      </w:pPr>
      <w:r>
        <w:rPr/>
        <w:t xml:space="preserve">Результаты:</w:t>
      </w:r>
    </w:p>
    <w:p>
      <w:pPr>
        <w:numPr>
          <w:ilvl w:val="0"/>
          <w:numId w:val="8"/>
        </w:numPr>
      </w:pPr>
      <w:r>
        <w:rPr/>
        <w:t xml:space="preserve">Введение</w:t>
      </w:r>
    </w:p>
    <w:p>
      <w:pPr>
        <w:numPr>
          <w:ilvl w:val="0"/>
          <w:numId w:val="8"/>
        </w:numPr>
      </w:pPr>
      <w:r>
        <w:rPr/>
        <w:t xml:space="preserve">Постановка задачи</w:t>
      </w:r>
    </w:p>
    <w:p>
      <w:pPr>
        <w:numPr>
          <w:ilvl w:val="0"/>
          <w:numId w:val="8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8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8"/>
        </w:numPr>
      </w:pPr>
      <w:r>
        <w:rPr/>
        <w:t xml:space="preserve">Выводы</w:t>
      </w:r>
    </w:p>
    <w:p>
      <w:pPr>
        <w:numPr>
          <w:ilvl w:val="0"/>
          <w:numId w:val="8"/>
        </w:numPr>
      </w:pPr>
      <w:r>
        <w:rPr/>
        <w:t xml:space="preserve">Список источников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9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9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9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9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9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9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9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Промежуточная аттестация по практике в 4, 6 семестрах проводится в форме отчета о результатах научно-исследовательской работы, подготовки презентации и доклада, публичной защиты результатов научно-исследовательской работы.</w:t>
      </w:r>
    </w:p>
    <w:p>
      <w:pPr/>
      <w:r>
        <w:rPr/>
        <w:t xml:space="preserve">Промежуточная аттестация проводится комиссией.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>
        <w:numPr>
          <w:ilvl w:val="0"/>
          <w:numId w:val="10"/>
        </w:numPr>
      </w:pPr>
      <w:r>
        <w:rPr/>
        <w:t xml:space="preserve">Оглавление</w:t>
      </w:r>
    </w:p>
    <w:p>
      <w:pPr>
        <w:numPr>
          <w:ilvl w:val="0"/>
          <w:numId w:val="10"/>
        </w:numPr>
      </w:pPr>
      <w:r>
        <w:rPr/>
        <w:t xml:space="preserve">Список обозначений и сокращений (при необходимости)</w:t>
      </w:r>
    </w:p>
    <w:p>
      <w:pPr>
        <w:numPr>
          <w:ilvl w:val="0"/>
          <w:numId w:val="10"/>
        </w:numPr>
      </w:pPr>
      <w:r>
        <w:rPr/>
        <w:t xml:space="preserve">Введение</w:t>
      </w:r>
    </w:p>
    <w:p>
      <w:pPr>
        <w:numPr>
          <w:ilvl w:val="0"/>
          <w:numId w:val="10"/>
        </w:numPr>
      </w:pPr>
      <w:r>
        <w:rPr/>
        <w:t xml:space="preserve">Основная часть</w:t>
      </w:r>
    </w:p>
    <w:p>
      <w:pPr>
        <w:numPr>
          <w:ilvl w:val="0"/>
          <w:numId w:val="10"/>
        </w:numPr>
      </w:pPr>
      <w:r>
        <w:rPr/>
        <w:t xml:space="preserve">Постановка задачи</w:t>
      </w:r>
    </w:p>
    <w:p>
      <w:pPr>
        <w:numPr>
          <w:ilvl w:val="0"/>
          <w:numId w:val="10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10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10"/>
        </w:numPr>
      </w:pPr>
      <w:r>
        <w:rPr/>
        <w:t xml:space="preserve">Заключение</w:t>
      </w:r>
    </w:p>
    <w:p>
      <w:pPr>
        <w:numPr>
          <w:ilvl w:val="0"/>
          <w:numId w:val="10"/>
        </w:numPr>
      </w:pPr>
      <w:r>
        <w:rPr/>
        <w:t xml:space="preserve">Список источников</w:t>
      </w:r>
    </w:p>
    <w:p>
      <w:pPr>
        <w:numPr>
          <w:ilvl w:val="0"/>
          <w:numId w:val="10"/>
        </w:numPr>
      </w:pPr>
      <w:r>
        <w:rPr/>
        <w:t xml:space="preserve">Приложения (при необходимости)</w:t>
      </w:r>
    </w:p>
    <w:p>
      <w:pPr/>
      <w:r>
        <w:rPr/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11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11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11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11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11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11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11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/>
        <w:t xml:space="preserve">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2"/>
        </w:numPr>
      </w:pPr>
      <w:r>
        <w:rPr/>
        <w:t xml:space="preserve">Положение об организации самостоятельной работы в ПетрГУ. - URL: </w:t>
      </w:r>
      <w:hyperlink r:id="rId9" w:history="1">
        <w:r>
          <w:rPr/>
          <w:t xml:space="preserve">https://petrsu.ru/docs/counter/754</w:t>
        </w:r>
      </w:hyperlink>
    </w:p>
    <w:p>
      <w:pPr>
        <w:numPr>
          <w:ilvl w:val="0"/>
          <w:numId w:val="12"/>
        </w:numPr>
      </w:pPr>
      <w:r>
        <w:rPr/>
        <w:t xml:space="preserve">Положение о практике обучающихся, осваивающих основные профессиональные образовательные программы высшего образования в ПетрГУ. - URL: </w:t>
      </w:r>
      <w:hyperlink r:id="rId7" w:history="1">
        <w:r>
          <w:rPr/>
          <w:t xml:space="preserve">https://petrsu.ru/docs/counter/8669</w:t>
        </w:r>
      </w:hyperlink>
    </w:p>
    <w:p>
      <w:pPr/>
      <w:r>
        <w:rPr/>
        <w:t xml:space="preserve"> </w:t>
      </w:r>
    </w:p>
    <w:p>
      <w:pPr/>
      <w:r>
        <w:rPr/>
        <w:t xml:space="preserve">14.1. Основная литература:</w:t>
      </w:r>
    </w:p>
    <w:p>
      <w:pPr>
        <w:numPr>
          <w:ilvl w:val="0"/>
          <w:numId w:val="13"/>
        </w:numPr>
      </w:pPr>
      <w:r>
        <w:rPr/>
        <w:t xml:space="preserve">Методические рекомендации к выполнению курсовых и дипломных работ для студентов специальности «Информационные системы и технологии» [Электронный ресурс] / URL: https://imit.petrsu.ru/files/2018/f_158_met_kurs.doc.</w:t>
      </w:r>
    </w:p>
    <w:p>
      <w:pPr>
        <w:numPr>
          <w:ilvl w:val="0"/>
          <w:numId w:val="13"/>
        </w:numPr>
      </w:pPr>
      <w:r>
        <w:rPr/>
        <w:t xml:space="preserve">Положение о выпускной квалификационной работе в институте математики и информационных технологий [Электронный ресурс] / URL: </w:t>
      </w:r>
      <w:hyperlink r:id="rId10" w:history="1">
        <w:r>
          <w:rPr/>
          <w:t xml:space="preserve">http://cs.petrsu.ru/studies/kurs/vkr2017.pdf</w:t>
        </w:r>
      </w:hyperlink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Правила оформления курсовых, дипломных, выпускных квалификационных работ, а также магистерских диссертаций [Электронный ресурс] / URL: https://imit.petrsu.ru/files/2018/f_159_rules.pdf.</w:t>
      </w:r>
    </w:p>
    <w:p>
      <w:pPr>
        <w:numPr>
          <w:ilvl w:val="0"/>
          <w:numId w:val="13"/>
        </w:numPr>
      </w:pPr>
      <w:r>
        <w:rPr/>
        <w:t xml:space="preserve">ГОСТ 7.32-2017 Отчет о научно-исследовательской работе. Структура и правила оформления  [Электронный ресурс] / URL: http://protect.gost.ru/document.aspx?control=7&amp;baseC=6&amp;page=0&amp;month=12&amp;year=2019&amp;search=%D0%93%D0%9E%D0%A1%D0%A2%207.32-2017&amp;RegNum=1&amp;DocOnPageCount=15&amp;id=218998.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Алексеев Ю.В., Казачинский В.П., Никитина Н.С. Научно-исследовательские работы (курсовые, дипломные, диссертации): общая методология, методика подготовки и оформления. [Электронный ресурс] : учебное пособие / Ю.В. Алексеев, В.П. Казачинский, Н.С.  Никитина. — М. : Издательство АСВ, 2015, 120 с. // Консультант студента : студенческая электронная библиотека. — URL: http://www.studentlibrary.ru/book/ISBN9785930934007.html.</w:t>
      </w:r>
    </w:p>
    <w:p>
      <w:pPr>
        <w:numPr>
          <w:ilvl w:val="0"/>
          <w:numId w:val="14"/>
        </w:numPr>
      </w:pPr>
      <w:r>
        <w:rPr/>
        <w:t xml:space="preserve">Беляков, Н.С. ТЕХ для всех. Оформление учебных и научных работ в системе LATEX / Н.С. Беляков, В.Е. Палош, П.А. Садовский. - Москва : Либроком, 2009. - 208 с. [Электронный ресурс]. - URL: http://biblioclub.ru/index.php?page=book&amp;id=447830.</w:t>
      </w:r>
    </w:p>
    <w:p>
      <w:pPr>
        <w:numPr>
          <w:ilvl w:val="0"/>
          <w:numId w:val="14"/>
        </w:numPr>
      </w:pPr>
      <w:r>
        <w:rPr/>
        <w:t xml:space="preserve">Львовский, С.М. Работа в системе LaTeX : курс / С.М. Львовский ; Национальный Открытый Университет "ИНТУИТ". - Москва : Интернет-Университет Информационных Технологий, 2007. - 465 с. ; [Электронный ресурс]. - URL: http://biblioclub.ru/index.php?page=book&amp;id=234150.</w:t>
      </w:r>
    </w:p>
    <w:p>
      <w:pPr>
        <w:numPr>
          <w:ilvl w:val="0"/>
          <w:numId w:val="14"/>
        </w:numPr>
      </w:pPr>
      <w:r>
        <w:rPr/>
        <w:t xml:space="preserve">Шкляр М. Ф. Основы научных исследований. [Электронный ресурс] : учебное пособие /  М. Ф. Шкляр. - 4-е изд. - М.: Издательско-торговая корпорация "Дашков и К", 2012. - 244 с. // Консультант студента : студенческая электронная библиотека. — URL: http://www.studentlibrary.ru/book/ISBN9785394018008.html.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79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8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DE1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8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AD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B1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60E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F94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EF5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0B1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90D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630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6F1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6F6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8669" TargetMode="External"/><Relationship Id="rId8" Type="http://schemas.openxmlformats.org/officeDocument/2006/relationships/hyperlink" Target="https://imit.petrsu.ru/page/kurs" TargetMode="External"/><Relationship Id="rId9" Type="http://schemas.openxmlformats.org/officeDocument/2006/relationships/hyperlink" Target="/docs/counter/754" TargetMode="External"/><Relationship Id="rId10" Type="http://schemas.openxmlformats.org/officeDocument/2006/relationships/hyperlink" Target="http://cs.petrsu.ru/studies/kurs/vkr2017.pdf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2026-04-21T09:25:39+03:00</dcterms:created>
  <dcterms:modified xsi:type="dcterms:W3CDTF">2026-04-21T09:25:39+03:00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