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«Иноязычное медиапространство и межкультурная коммуникация»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«Иноязычное медиапространство и межкультурная коммуникация»).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Евтропкова Дина Сергеевна,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(элективная дисциплина, реализована за рамками объема образовательной программы) (НОИ), Подготовка к сдаче и сдача государственного экзамена (И), Физическая культура и спорт (НОИ), Подготовка к защите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+ сила.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Пилатес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Пилатес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Степ-аэробика + сила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Пилатес. Техника безопасности и требования на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Пилатес. Упражнения, направленные на укрепление мышц рук, спины и брюшного пресса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расслабление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 направление Фитбол. Техника безопасности и требования к занятию на фитболах.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для укрепления мышц рук, спины и брюшного пресса. Упражнения для укрепления мышц ног, ягодиц.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расслабление и растяжку.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всех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степ- аэробика. Техника безопасности и требования к занятиям степ-аэробикой.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Basic Step(простые)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Double basic (на 8 счетов)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Repeat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аэробика, техника безопасности и требования на занятиях аэробикой.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аэробике. Простые шаги. Шаги со сменой ног.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Фитбол. Техника безопасности и требования к занятию на фитболах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для укрепления мышц рук, спины и брюшного пресса. Упражнения для укрепления мышц ног и ягодиц.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расслабление и растяжку.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всех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Пилатес. Техника безопасности и требования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Пилатес. Упражнения, направленные на укрепление мышц рук, спины и брюшного пресса.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расслабление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степ- аэробика. Техника безопасности и требования к занятиям степ-аэробикой.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Basic Step(простые)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Double basic(на 8 счетов)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базовых шагов в степ-аэробике. Шаги группы Repeat Knee 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комбинаций на основе изученных шагов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фитнес, направление стретчинг. Техника безопасности и требования к занятиям стретчингом.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комплекс упражнений по направлению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укрепление мышц тазового пояса, бедер, ног. Упражнения на укрепление мышц спины.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«Фитнес» реализуются разнообразные образовательные технологии. В частности, при проведении практических занятий используются материалы видеозаписей, презентаций по технике выполнения упражнений в различных направлениях фитнеса, по освоению техники различных базовых шагов и комбинаций на основе изученных шагов.</w:t>
      </w:r>
    </w:p>
    <w:p>
      <w:pPr/>
      <w:r>
        <w:rPr/>
        <w:t xml:space="preserve">В процессе практических занятий, при изучении техники выполнения упражнений всегда применяется: собственная демонстрация техники выполнения упражнений различных видов фитнеса, техника базовых шагов и комбинаций на основе изученных шагов.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упражнений и шагов, используемые в фитнесе, на основе материалов видеосъемки,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тестирования общей и специальной физической подготовки, а также контролирования техники выполнения комплекса упражнений (базовых шагов) и комплекса упражнений (комбинации). 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Оценочные средства для текущего контроля: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Тесты общей физической подготовки:</w:t>
      </w:r>
    </w:p>
    <w:p>
      <w:pPr/>
      <w:r>
        <w:rPr/>
        <w:t xml:space="preserve">Быстрота – бег 100 м</w:t>
      </w:r>
    </w:p>
    <w:p>
      <w:pPr/>
      <w:r>
        <w:rPr/>
        <w:t xml:space="preserve">Выносливость – бег 500/1000м</w:t>
      </w:r>
    </w:p>
    <w:p>
      <w:pPr/>
      <w:r>
        <w:rPr/>
        <w:t xml:space="preserve">Сила – подтягивания (юноши), сгибание-разгибание рук в упоре лежа на полу (девушки), подъемы туловища, лежа на спине</w:t>
      </w:r>
    </w:p>
    <w:p>
      <w:pPr/>
      <w:r>
        <w:rPr/>
        <w:t xml:space="preserve">Скоростно-силовая выносливость – прыжок в длину с места</w:t>
      </w:r>
    </w:p>
    <w:p>
      <w:pPr/>
      <w:r>
        <w:rPr/>
        <w:t xml:space="preserve">Гибкость – наклон вперед из положения стоя с выпрямленными ногами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Тесты специальной физической подготовки:</w:t>
      </w:r>
    </w:p>
    <w:p>
      <w:pPr/>
      <w:r>
        <w:rPr/>
        <w:t xml:space="preserve">Лежа на животе, ноги закреплены, руки за головой, удержание туловища под углом 25–30° «Кобра»</w:t>
      </w:r>
    </w:p>
    <w:p>
      <w:pPr/>
      <w:r>
        <w:rPr/>
        <w:t xml:space="preserve">Удержание прямого угла в приседании стоя у стены</w:t>
      </w:r>
    </w:p>
    <w:p>
      <w:pPr/>
      <w:r>
        <w:rPr/>
        <w:t xml:space="preserve">Комплексный силовой тест за 30 сек.: упор присев – упор лежа –</w:t>
      </w:r>
    </w:p>
    <w:p>
      <w:pPr/>
      <w:r>
        <w:rPr/>
        <w:t xml:space="preserve">упор присев – встать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Тесты технической подготовки:</w:t>
      </w:r>
    </w:p>
    <w:p>
      <w:pPr/>
      <w:r>
        <w:rPr/>
        <w:t xml:space="preserve">Комплекс упражнений (базовые шаги).</w:t>
      </w:r>
    </w:p>
    <w:p>
      <w:pPr/>
      <w:r>
        <w:rPr/>
        <w:t xml:space="preserve">Комплексное упражнение (комбинация).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результатов обучения: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Тесты общефизической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690" w:type="dxa"/>
        <w:gridCol w:w="4395" w:type="dxa"/>
        <w:gridCol w:w="1155" w:type="dxa"/>
        <w:gridCol w:w="1155" w:type="dxa"/>
        <w:gridCol w:w="105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3360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115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16,9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15,8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2,25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2,10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1,55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188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4320" w:type="dxa"/>
        <w:gridCol w:w="1170" w:type="dxa"/>
        <w:gridCol w:w="1170" w:type="dxa"/>
        <w:gridCol w:w="106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20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13,2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4,15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3,50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3,20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233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90" w:type="dxa"/>
        <w:gridCol w:w="4395" w:type="dxa"/>
        <w:gridCol w:w="1155" w:type="dxa"/>
        <w:gridCol w:w="1155" w:type="dxa"/>
        <w:gridCol w:w="105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       Вид испытаний (тесты)</w:t>
            </w:r>
          </w:p>
        </w:tc>
        <w:tc>
          <w:tcPr>
            <w:tcW w:w="3360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115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18,1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17,1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16,2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2,30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2,15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2,00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Прыжок в длину с места толчком двумя ногами (см)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198</w:t>
            </w:r>
          </w:p>
        </w:tc>
      </w:tr>
    </w:tbl>
    <w:p>
      <w:pPr/>
      <w:r>
        <w:rPr/>
        <w:t xml:space="preserve"> </w:t>
      </w:r>
    </w:p>
    <w:tbl>
      <w:tblGrid>
        <w:gridCol w:w="705" w:type="dxa"/>
        <w:gridCol w:w="4320" w:type="dxa"/>
        <w:gridCol w:w="1170" w:type="dxa"/>
        <w:gridCol w:w="1170" w:type="dxa"/>
        <w:gridCol w:w="1065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20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844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на 100 м (сек.)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3,40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3,10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Наклон вперед из положения стоя с прямыми ногами на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Прыжок в длину с места толчком двумя ногами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244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 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>
      <w:pPr/>
      <w:r>
        <w:rPr/>
        <w:t xml:space="preserve"> </w:t>
      </w:r>
    </w:p>
    <w:p>
      <w:pPr/>
      <w:r>
        <w:rPr/>
        <w:t xml:space="preserve">Тесты специальной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2850" w:type="dxa"/>
        <w:gridCol w:w="1860" w:type="dxa"/>
        <w:gridCol w:w="1800" w:type="dxa"/>
        <w:gridCol w:w="1695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8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Вид испытаний</w:t>
            </w:r>
            <w:r>
              <w:rPr/>
              <w:t xml:space="preserve"> (тесты)</w:t>
            </w:r>
          </w:p>
        </w:tc>
        <w:tc>
          <w:tcPr>
            <w:tcW w:w="537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Результаты </w:t>
            </w:r>
            <w:r>
              <w:rPr/>
              <w:t xml:space="preserve">(девушки/юноши)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 Оценка </w:t>
            </w:r>
            <w:r>
              <w:rPr/>
              <w:t xml:space="preserve">(количество очков)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>
                <w:b w:val="1"/>
                <w:bCs w:val="1"/>
              </w:rPr>
              <w:t xml:space="preserve">I курс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II    курс</w:t>
            </w:r>
          </w:p>
        </w:tc>
        <w:tc>
          <w:tcPr>
            <w:tcW w:w="1695" w:type="dxa"/>
            <w:noWrap/>
          </w:tcPr>
          <w:p>
            <w:pPr/>
            <w:r>
              <w:rPr>
                <w:b w:val="1"/>
                <w:bCs w:val="1"/>
              </w:rPr>
              <w:t xml:space="preserve">III курс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Лежа на животе, ноги закреплены, руки за головой, удержание туловища под углом 25–30° «Кобра» (сек.)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80/90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100/110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110/120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      60/70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80/90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90/100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      40/60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60/70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 70/80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Удержание прямого угла в приседании стоя у стены (сек.)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100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110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  120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90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100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70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850" w:type="dxa"/>
            <w:noWrap/>
          </w:tcPr>
          <w:p>
            <w:pPr/>
            <w:r>
              <w:rPr/>
              <w:t xml:space="preserve">Комплексный силовой тест за 30 сек.: упор присев – упор лежа – упор присев – встать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      13/15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      14/16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       15/17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11/13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12/14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13/15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60" w:type="dxa"/>
            <w:noWrap/>
          </w:tcPr>
          <w:p>
            <w:pPr/>
            <w:r>
              <w:rPr/>
              <w:t xml:space="preserve"> 10/12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 11/13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 12/14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Тесты по технической подготовленности оцениваются по следующим критериям:</w:t>
      </w:r>
    </w:p>
    <w:p>
      <w:pPr/>
      <w:r>
        <w:rPr>
          <w:b w:val="1"/>
          <w:bCs w:val="1"/>
        </w:rPr>
        <w:t xml:space="preserve"> </w:t>
      </w:r>
    </w:p>
    <w:tbl>
      <w:tblGrid>
        <w:gridCol w:w="2235" w:type="dxa"/>
        <w:gridCol w:w="1845" w:type="dxa"/>
        <w:gridCol w:w="1935" w:type="dxa"/>
        <w:gridCol w:w="2220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>
                <w:b w:val="1"/>
                <w:bCs w:val="1"/>
              </w:rPr>
              <w:t xml:space="preserve">Оценочное средство</w:t>
            </w:r>
          </w:p>
        </w:tc>
        <w:tc>
          <w:tcPr>
            <w:tcW w:w="600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Результаты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  Оценка </w:t>
            </w:r>
            <w:r>
              <w:rPr/>
              <w:t xml:space="preserve">(количество очков)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I курс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II курс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III курс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</w:t>
            </w:r>
          </w:p>
          <w:p>
            <w:pPr/>
            <w:r>
              <w:rPr/>
              <w:t xml:space="preserve">(базовые шаги) раздела</w:t>
            </w:r>
          </w:p>
          <w:p>
            <w:pPr/>
            <w:r>
              <w:rPr/>
              <w:t xml:space="preserve">аэробика+ сила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3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2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3простых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4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4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шагов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4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степ- аэробика + сила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3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2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3простых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4 шага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3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4 простых шага (на четыре счета)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шагов со сменой ног (на два и четыре счета)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 простых и 4 шага со сменой ног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стретчинг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упражнения с методическим обоснованием (2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упражнений с методическим обоснованием (3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6 упражнений. с методическим обоснованием (3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5 упражнений с методическим обоснованием (3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6 упражнений с методическим обоснованием (3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7 упражнений с методическим обоснованием                      (4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6 упражнений с методическим обоснованием (4 без ошибок).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 упражнений с методическим обоснованием (4 без ошибок).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8 упражнений с методическим обоснованием (5 без ошибок).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Комплекс упражнений (базовые шаги) раздела пилатес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4упражнения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 упражнения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.6 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5 упражнений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6 упражнений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7 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6 упражнений с методическим обоснованием на выбор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 упражнений с методическим обоснованием на выбор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8упражнений с методическим обоснованием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Комплекс упражнений (комбинация)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2115" w:type="dxa"/>
        <w:gridCol w:w="2085" w:type="dxa"/>
        <w:gridCol w:w="2085" w:type="dxa"/>
        <w:gridCol w:w="1965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Оценочное средство</w:t>
            </w:r>
          </w:p>
        </w:tc>
        <w:tc>
          <w:tcPr>
            <w:tcW w:w="6120" w:type="dxa"/>
            <w:gridSpan w:val="3"/>
            <w:noWrap/>
          </w:tcPr>
          <w:p>
            <w:pPr/>
            <w:r>
              <w:rPr/>
              <w:t xml:space="preserve">Результаты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Оценка</w:t>
            </w:r>
          </w:p>
          <w:p>
            <w:pPr/>
            <w:r>
              <w:rPr/>
              <w:t xml:space="preserve">(количество очков)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I курс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II курс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III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Аэробика+ сила:)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 и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степ - аэробика + сила.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Зачетная комбинация 1 и 2.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Зачетная комбинация 1   и 2.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Фитбол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3 упражнения,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4 упражнения,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упражнений, с методическим обоснованием на заданную группу мышц.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упражнений, с методическим обоснованием на заданную группу мышц.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упражнений, с методическим обоснованием на заданную группу мышц.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стретчинг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7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8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Комплекс упражнений (базовая комбинация) раздела пилатес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3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4 упражнения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2085" w:type="dxa"/>
            <w:noWrap/>
          </w:tcPr>
          <w:p>
            <w:pPr/>
            <w:r>
              <w:rPr/>
              <w:t xml:space="preserve">5 упражнений с методическим обоснованием на различные группы мышц на выбор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6 упражнений с методическим обоснованием на различные группы мышц на выбор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7 упражнений   с методическим обоснованием на различные группы мышц на выбор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5.2. Промежуточная аттестация проводится в виде зачета в конце каждого семестра.</w:t>
      </w:r>
    </w:p>
    <w:p>
      <w:pPr/>
      <w:r>
        <w:rPr/>
        <w:t xml:space="preserve">При оценивании работы студентов используется </w:t>
      </w:r>
      <w:r>
        <w:rPr>
          <w:i w:val="1"/>
          <w:iCs w:val="1"/>
        </w:rPr>
        <w:t xml:space="preserve">балльная система</w:t>
      </w:r>
      <w:r>
        <w:rPr/>
        <w:t xml:space="preserve">.</w:t>
      </w:r>
    </w:p>
    <w:p>
      <w:pPr/>
      <w:r>
        <w:rPr/>
        <w:t xml:space="preserve">Балльная оценка по дисциплине определяется как сумма баллов, набранных студентом в результате работы в семестре, количество баллов в семестре определяет преподаватель в зависимости от учебного плана.</w:t>
      </w:r>
    </w:p>
    <w:p>
      <w:pPr/>
      <w:r>
        <w:rPr/>
        <w:t xml:space="preserve"> </w:t>
      </w:r>
    </w:p>
    <w:p>
      <w:pPr/>
      <w:r>
        <w:rPr/>
        <w:t xml:space="preserve">Используется накопительная модель, когда итоговая сумма баллов в семестре по дисциплине складывается из баллов (Б</w:t>
      </w:r>
      <w:r>
        <w:rPr>
          <w:vertAlign w:val="subscript"/>
        </w:rPr>
        <w:t xml:space="preserve">ит)</w:t>
      </w:r>
      <w:r>
        <w:rPr/>
        <w:t xml:space="preserve">, набранных в результате текущего контроля: посещаемость практических занятий (Б</w:t>
      </w:r>
      <w:r>
        <w:rPr>
          <w:vertAlign w:val="subscript"/>
        </w:rPr>
        <w:t xml:space="preserve">п</w:t>
      </w:r>
      <w:r>
        <w:rPr/>
        <w:t xml:space="preserve">) + результаты тестирования (Б</w:t>
      </w:r>
      <w:r>
        <w:rPr>
          <w:vertAlign w:val="subscript"/>
        </w:rPr>
        <w:t xml:space="preserve">т</w:t>
      </w:r>
      <w:r>
        <w:rPr/>
        <w:t xml:space="preserve">) + бонусные баллы (Б</w:t>
      </w:r>
      <w:r>
        <w:rPr>
          <w:vertAlign w:val="subscript"/>
        </w:rPr>
        <w:t xml:space="preserve">б</w:t>
      </w:r>
      <w:r>
        <w:rPr/>
        <w:t xml:space="preserve">). Б</w:t>
      </w:r>
      <w:r>
        <w:rPr>
          <w:vertAlign w:val="subscript"/>
        </w:rPr>
        <w:t xml:space="preserve">ит = </w:t>
      </w:r>
      <w:r>
        <w:rPr/>
        <w:t xml:space="preserve">Б</w:t>
      </w:r>
      <w:r>
        <w:rPr>
          <w:vertAlign w:val="subscript"/>
        </w:rPr>
        <w:t xml:space="preserve">п</w:t>
      </w:r>
      <w:r>
        <w:rPr/>
        <w:t xml:space="preserve"> + Б</w:t>
      </w:r>
      <w:r>
        <w:rPr>
          <w:vertAlign w:val="subscript"/>
        </w:rPr>
        <w:t xml:space="preserve">т</w:t>
      </w:r>
      <w:r>
        <w:rPr/>
        <w:t xml:space="preserve">+ Б</w:t>
      </w:r>
      <w:r>
        <w:rPr>
          <w:vertAlign w:val="subscript"/>
        </w:rPr>
        <w:t xml:space="preserve">б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Пример начисления баллов: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обязательные баллы:</w:t>
      </w:r>
    </w:p>
    <w:p>
      <w:pPr/>
      <w:r>
        <w:rPr/>
        <w:t xml:space="preserve">посещаемость практических занятий – 2 балла одно практическое занятие;</w:t>
      </w:r>
    </w:p>
    <w:p>
      <w:pPr/>
      <w:r>
        <w:rPr/>
        <w:t xml:space="preserve">результаты тестирования (контрольные нормативы по ОФП, тесты технической подготовленности, теоретический тест) – от 2 до 15 баллов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дополнительные (бонусные) баллы</w:t>
      </w:r>
      <w:r>
        <w:rPr/>
        <w:t xml:space="preserve"> за спортивно – физкультурную активность в течение семестра начисляются:</w:t>
      </w:r>
    </w:p>
    <w:p>
      <w:pPr/>
      <w:r>
        <w:rPr/>
        <w:t xml:space="preserve">членам сборных команд университета по видам спорта (по списку спортклуба, исключением являются виды спорта, где соревновательная спортивная деятельность сводится к абстрактно логическому противостоянию соперников (шахматы, шашки и др.) – в полном объеме + участие в университетских соревнованиях по специализации (не менее одних соревнований в семестре)</w:t>
      </w:r>
    </w:p>
    <w:p>
      <w:pPr/>
      <w:r>
        <w:rPr/>
        <w:t xml:space="preserve">за участие в соревнованиях разного ранга – от 2-х и более баллов в зависимости от статуса соревнований, занятого места (наличие протокола);</w:t>
      </w:r>
    </w:p>
    <w:p>
      <w:pPr/>
      <w:r>
        <w:rPr/>
        <w:t xml:space="preserve">за участие в соревнованиях университета, включенных в календарный план – от 2 до 4 баллов;</w:t>
      </w:r>
    </w:p>
    <w:p>
      <w:pPr/>
      <w:r>
        <w:rPr/>
        <w:t xml:space="preserve">за участие в организации и судействе соревнований/волонтерская деятельность – от 2 и более баллов в зависимости от затраченного времени (предоставление отчета);</w:t>
      </w:r>
    </w:p>
    <w:p>
      <w:pPr/>
      <w:r>
        <w:rPr/>
        <w:t xml:space="preserve">поход выходного дня – 2 балла.</w:t>
      </w:r>
    </w:p>
    <w:p>
      <w:pPr/>
      <w:r>
        <w:rPr>
          <w:i w:val="1"/>
          <w:iCs w:val="1"/>
        </w:rPr>
        <w:t xml:space="preserve">дополнительные (бонусные) баллы</w:t>
      </w:r>
      <w:r>
        <w:rPr/>
        <w:t xml:space="preserve"> за научную деятельность в течение семестра начисляются:</w:t>
      </w:r>
    </w:p>
    <w:p>
      <w:pPr/>
      <w:r>
        <w:rPr/>
        <w:t xml:space="preserve">участие в научных конференциях, выступление с докладом, подготовка статьи (не более одной работы за семестр) – от 2-х баллов в зависимости от выполненных работ.</w:t>
      </w:r>
    </w:p>
    <w:p>
      <w:pPr/>
      <w:r>
        <w:rPr>
          <w:i w:val="1"/>
          <w:iCs w:val="1"/>
        </w:rPr>
        <w:t xml:space="preserve">Сумма баллов</w:t>
      </w:r>
      <w:r>
        <w:rPr/>
        <w:t xml:space="preserve">, набранных студентами по результатам каждого вида контроля, включая бонусные баллы, заносится преподавателем, проводящим аттестацию в соответствующую форму (ведомость), которая используется в течение всего семестра.</w:t>
      </w:r>
    </w:p>
    <w:p>
      <w:pPr/>
      <w:r>
        <w:rPr/>
        <w:t xml:space="preserve">К началу каждого семестра кафедра конкретизирует в предложенных рамках балльные шкалы и порядок проведения текущей и промежуточной аттестации, и эти сведения через преподавателей доводятся до студентов на первом учебном занятии.</w:t>
      </w:r>
    </w:p>
    <w:p>
      <w:pPr/>
      <w:r>
        <w:rPr/>
        <w:t xml:space="preserve">Для получения зачета – обязательно посещение занятий, сдача контрольных нормативов.</w:t>
      </w:r>
    </w:p>
    <w:p>
      <w:pPr/>
      <w:r>
        <w:rPr/>
        <w:t xml:space="preserve"> </w:t>
      </w:r>
    </w:p>
    <w:p>
      <w:pPr/>
      <w:r>
        <w:rPr/>
        <w:t xml:space="preserve">Студентам, освоившим указанную компетенцию (УК-7) досрочно: сдача контрольных нормативов по ОФП (бег 100м, бег 500/100м, прыжок в длину с места, сгибание и разгибание рук в упоре лежа (девушки) и подтягивания (юноши), поднимание туловища из положения лежа на спине, наклон вперед из положения стоя с прямыми ногами на гимнастической скамье) не менее, чем на 4 балла; выполнение теоретического теста не ниже 1-го балла, может быть разрешено замещение учебных занятий самостоятельно с 5 семестра в физкультурно-оздоровительных клубах при условии:</w:t>
      </w:r>
    </w:p>
    <w:p>
      <w:pPr/>
      <w:r>
        <w:rPr/>
        <w:t xml:space="preserve">-согласовано с преподавателем дисциплины</w:t>
      </w:r>
    </w:p>
    <w:p>
      <w:pPr/>
      <w:r>
        <w:rPr/>
        <w:t xml:space="preserve">- отсутствия академической задолженности по дисциплине за предыдущие семестры</w:t>
      </w:r>
    </w:p>
    <w:p>
      <w:pPr/>
      <w:r>
        <w:rPr/>
        <w:t xml:space="preserve">- сданы нормативы текущего контроля не ниже среднего (9 очков)</w:t>
      </w:r>
    </w:p>
    <w:p>
      <w:pPr/>
      <w:r>
        <w:rPr/>
        <w:t xml:space="preserve">- предоставления регулярной отчетной документации до 10-го числа каждого месяца</w:t>
      </w:r>
    </w:p>
    <w:p>
      <w:pPr/>
      <w:r>
        <w:rPr/>
        <w:t xml:space="preserve">- засчитывается количество занятий, соответствующее занятиям по учебному расписанию (2 занятия в неделю)</w:t>
      </w:r>
    </w:p>
    <w:p>
      <w:pPr/>
      <w:r>
        <w:rPr/>
        <w:t xml:space="preserve">- продолжительность занятия не менее 60 минут.</w:t>
      </w:r>
    </w:p>
    <w:p>
      <w:pPr/>
      <w:r>
        <w:rPr/>
        <w:t xml:space="preserve"> 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реализации дисциплины «Элективная дисциплина по физической культуре и спорту» используется модульное обучение. Каждый модуль обладает законченностью и относительной самостоятельностью. Совокупность таких модулей составляет единое целое при раскрытии всей учебной дисциплины. Порядок изучения модулей могут меняться в зависимости от возможности выделенного времени, места занятия, основного расписания залов и от загруженности данного зала.</w:t>
      </w:r>
    </w:p>
    <w:p>
      <w:pPr/>
      <w:r>
        <w:rPr/>
        <w:t xml:space="preserve">При практическом изучении материалов по технике выполнения упражнений в различных направлениях фитнеса, по освоению техники различных базовых шагов и комбинаций на основе изученных шагов рекомендуется использование видео и презентаций по дисциплине «Фитнес» по различным его направлениям</w:t>
      </w:r>
      <w:r>
        <w:rPr>
          <w:i w:val="1"/>
          <w:iCs w:val="1"/>
        </w:rPr>
        <w:t xml:space="preserve">.</w:t>
      </w:r>
    </w:p>
    <w:p>
      <w:pPr/>
      <w:r>
        <w:rPr/>
        <w:t xml:space="preserve">Для получения зачета - обязательное посещение занятий, сдача контрольных   нормативов. Выполнение требований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дисциплины «Фитнес»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по учебной дисциплине.</w:t>
      </w:r>
    </w:p>
    <w:p>
      <w:pPr/>
      <w:r>
        <w:rPr>
          <w:b w:val="1"/>
          <w:bCs w:val="1"/>
        </w:rPr>
        <w:t xml:space="preserve">       </w:t>
      </w:r>
      <w:r>
        <w:rPr/>
        <w:t xml:space="preserve">Для показа упражнений привлекать наиболее подготовленных студентов.</w:t>
      </w:r>
    </w:p>
    <w:p>
      <w:pPr/>
      <w:r>
        <w:rPr/>
        <w:t xml:space="preserve">Уделить внимание развитию общих и специальных физических качеств.</w:t>
      </w:r>
    </w:p>
    <w:p>
      <w:pPr/>
      <w:r>
        <w:rPr/>
        <w:t xml:space="preserve">При технической подготовке уделить особое внимание:</w:t>
      </w:r>
    </w:p>
    <w:p>
      <w:pPr/>
      <w:r>
        <w:rPr/>
        <w:t xml:space="preserve">-при изучении базовых шагов обязательно начинать с простых шагов, затем переходить к шагам со сменой ног.   </w:t>
      </w:r>
    </w:p>
    <w:p>
      <w:pPr/>
      <w:r>
        <w:rPr/>
        <w:t xml:space="preserve"> -при изучении и составлении комбинаций для лучшего усвоения материала обязательно   составлять и отрабатывать комбинацию в парах под счет. 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«Фитнес».</w:t>
      </w:r>
    </w:p>
    <w:p>
      <w:pPr/>
      <w:r>
        <w:rPr/>
        <w:t xml:space="preserve">       Порядок изучения модулей могут меняться в зависимости от возможности выделенного времени, места занятия, основного расписания залов и от загруженности данного зала.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</w:t>
      </w:r>
      <w:hyperlink r:id="rId7" w:history="1">
        <w:r>
          <w:rPr/>
          <w:t xml:space="preserve">https://urait.ru/bcode/567585</w:t>
        </w:r>
      </w:hyperlink>
      <w:r>
        <w:rPr/>
        <w:t xml:space="preserve"> (дата обращения: 17.04.2025).— ISBN 978-5-534-14068-2. — Текст : электронный.       </w:t>
      </w:r>
      <w:br/>
      <w:br/>
    </w:p>
    <w:p>
      <w:pPr>
        <w:numPr>
          <w:ilvl w:val="0"/>
          <w:numId w:val="4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</w:t>
      </w:r>
      <w:hyperlink r:id="rId8" w:history="1">
        <w:r>
          <w:rPr/>
          <w:t xml:space="preserve">https://urait.ru/bcode/559943</w:t>
        </w:r>
      </w:hyperlink>
      <w:r>
        <w:rPr/>
        <w:t xml:space="preserve"> (дата обращения: 15.04.2025). — ISBN 978-5-534-02483-8. — Текст : электронный.       </w:t>
      </w:r>
      <w:br/>
      <w:br/>
    </w:p>
    <w:p>
      <w:pPr>
        <w:numPr>
          <w:ilvl w:val="0"/>
          <w:numId w:val="4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</w:t>
      </w:r>
      <w:hyperlink r:id="rId9" w:history="1">
        <w:r>
          <w:rPr/>
          <w:t xml:space="preserve">https://urait.ru/bcode/560410</w:t>
        </w:r>
      </w:hyperlink>
      <w:r>
        <w:rPr/>
        <w:t xml:space="preserve"> (дата обращения: 17.04.2025). — ISBN 978-5-534-14056-9. — Текст : электронный.</w:t>
      </w:r>
    </w:p>
    <w:p>
      <w:pPr/>
      <w:r>
        <w:rPr>
          <w:i w:val="1"/>
          <w:iCs w:val="1"/>
        </w:rPr>
        <w:t xml:space="preserve">       4. </w:t>
      </w: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</w:t>
      </w:r>
      <w:hyperlink r:id="rId10" w:history="1">
        <w:r>
          <w:rPr/>
          <w:t xml:space="preserve">https://urait.ru/bcode/566502</w:t>
        </w:r>
      </w:hyperlink>
      <w:r>
        <w:rPr/>
        <w:t xml:space="preserve">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1.Кенарева Л. Ф. Фитнес в оздоровительной физической культуре и спорте : учебное пособие для обучающихся по направлению «Педагогическое образование» / Л. Ф. Кенарева ; М-во образования и науки Рос. Федерации, Федер. гос. бюджет. образоват. учреждение высш. образования Петрозав. гос. ун-т. — Петрозаводск : Изд-во ПетрГУ, 2017. — 65 с.</w:t>
      </w:r>
    </w:p>
    <w:p>
      <w:pPr/>
      <w:r>
        <w:rPr/>
        <w:t xml:space="preserve">Источник: </w:t>
      </w:r>
      <w:hyperlink r:id="rId11" w:history="1">
        <w:r>
          <w:rPr/>
          <w:t xml:space="preserve">http://elibrary.karelia.ru/book.shtml?id=28615#t20c</w:t>
        </w:r>
      </w:hyperlink>
    </w:p>
    <w:p>
      <w:pPr/>
      <w:r>
        <w:rPr/>
        <w:t xml:space="preserve">2.Киэлевяйнен Л. М. 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Каратаев; М-во образования и науки Рос. Федерации, Федер. гос. бюджет. образоват. учреждение высш. проф. образования Петрозав. гос. ун-т. — Петрозаводск : Изд-во ПетрГУ, 2015. — 53 с. </w:t>
      </w:r>
      <w:hyperlink r:id="rId12" w:history="1">
        <w:r>
          <w:rPr/>
          <w:t xml:space="preserve">http://elibrary.karelia.ru/book.shtml?levelID=033&amp;id=22050&amp;cType=1</w:t>
        </w:r>
      </w:hyperlink>
      <w:r>
        <w:rPr/>
        <w:t xml:space="preserve">  </w:t>
      </w:r>
    </w:p>
    <w:p>
      <w:pPr/>
      <w:r>
        <w:rPr/>
        <w:t xml:space="preserve">3.Самостоятельные силовые и аэробные занятия для девушек : учебное пособие для студентов I – V курсов / М-во образования и науки Рос. Федерации, Федер. гос. бюджет. образоват. учреждение высш. проф. образования Петрозав. гос. ун-т; [сост. : А. С. Кариаули [и др.]; фот. М. Квитко. — Петрозаводск : Изд-во ПетрГУ, 2015. — 40 с. </w:t>
      </w:r>
      <w:hyperlink r:id="rId13" w:history="1">
        <w:r>
          <w:rPr/>
          <w:t xml:space="preserve">http://elibrary.karelia.ru/book.shtml?levelID=033&amp;id=22526&amp;cType=1</w:t>
        </w:r>
      </w:hyperlink>
    </w:p>
    <w:p>
      <w:pPr/>
      <w:r>
        <w:rPr/>
        <w:t xml:space="preserve">4.Усаков, В.И. Студенту о здоровье и физическом воспитании : учебное пособие /В.И. Усаков. - Москва ; Берлин : Директ-Медиа, 2016. - 104 с. : ил., табл. - Библиогр. в кн.-   ISBN   978-5-4475-7955-5   ;   То   же   [Электронный   ресурс]. URL: </w:t>
      </w:r>
      <w:hyperlink r:id="rId14" w:history="1">
        <w:r>
          <w:rPr/>
          <w:t xml:space="preserve">http://biblioclub.ru/index.php?page=book&amp;id=441285</w:t>
        </w:r>
      </w:hyperlink>
    </w:p>
    <w:p>
      <w:pPr/>
      <w:r>
        <w:rPr/>
        <w:t xml:space="preserve">5. Современные фитнес-направления (специальная медицинская группа) </w:t>
      </w:r>
      <w:hyperlink r:id="rId15" w:history="1">
        <w:r>
          <w:rPr/>
          <w:t xml:space="preserve">https://elibrary.petrsu.ru/book.shtml?levelID=033&amp;id=30518&amp;cType=1</w:t>
        </w:r>
      </w:hyperlink>
    </w:p>
    <w:p>
      <w:pPr/>
      <w:r>
        <w:rPr/>
        <w:t xml:space="preserve">6. Использование нестандартного оборудования на занятиях по фитнесу </w:t>
      </w:r>
      <w:hyperlink r:id="rId16" w:history="1">
        <w:r>
          <w:rPr/>
          <w:t xml:space="preserve">https://elibrary.petrsu.ru/book.shtml?levelID=033&amp;id=45956&amp;cType=1</w:t>
        </w:r>
      </w:hyperlink>
    </w:p>
    <w:p>
      <w:pPr/>
      <w:r>
        <w:rPr/>
        <w:t xml:space="preserve">7. Упражнения в парах на занятиях по фитнесу, учебно-методическое пособие для обучающихся по элективной дисциплине «Фитнес» </w:t>
      </w:r>
      <w:hyperlink r:id="rId17" w:history="1">
        <w:r>
          <w:rPr/>
          <w:t xml:space="preserve">https://elibrary.petrsu.ru/books/64204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5"/>
        </w:numPr>
      </w:pPr>
      <w:r>
        <w:rPr/>
        <w:t xml:space="preserve">Центральная отраслевая библиотека по физической культуре и спорту. Режим доступа: </w:t>
      </w:r>
      <w:hyperlink r:id="rId18" w:history="1">
        <w:r>
          <w:rPr/>
          <w:t xml:space="preserve">http://lib.sportedu.ru/</w:t>
        </w:r>
      </w:hyperlink>
    </w:p>
    <w:p>
      <w:pPr/>
      <w:r>
        <w:rPr/>
        <w:t xml:space="preserve">2.Электронный  каталог Научной библиотеки ПетрГУ  </w:t>
      </w:r>
      <w:hyperlink r:id="rId19" w:history="1">
        <w:r>
          <w:rPr/>
          <w:t xml:space="preserve">http://foliant.ru/catalog/psulibr</w:t>
        </w:r>
      </w:hyperlink>
    </w:p>
    <w:p>
      <w:pPr/>
      <w:r>
        <w:rPr/>
        <w:t xml:space="preserve">3.Электронный каталог библиотеки Республики Карелия  </w:t>
      </w:r>
      <w:hyperlink r:id="rId20" w:history="1">
        <w:r>
          <w:rPr/>
          <w:t xml:space="preserve">http://elibrary.karelia.ru/</w:t>
        </w:r>
      </w:hyperlink>
    </w:p>
    <w:p>
      <w:pPr/>
      <w:r>
        <w:rPr/>
        <w:t xml:space="preserve">4.Электронная библиотечная система «Университетская библиотека онлайн» </w:t>
      </w:r>
      <w:r>
        <w:rPr>
          <w:u w:val="single"/>
        </w:rPr>
        <w:t xml:space="preserve">http://</w:t>
      </w:r>
      <w:r>
        <w:rPr>
          <w:u w:val="single"/>
        </w:rPr>
        <w:t xml:space="preserve">biblioclub.</w:t>
      </w:r>
      <w:r>
        <w:rPr>
          <w:u w:val="single"/>
        </w:rPr>
        <w:t xml:space="preserve">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1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2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3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4" w:history="1">
        <w:r>
          <w:rPr/>
          <w:t xml:space="preserve">https://moodle2.petrsu.ru</w:t>
        </w:r>
      </w:hyperlink>
      <w:r>
        <w:rPr/>
        <w:t xml:space="preserve"> ), WebCT (</w:t>
      </w:r>
      <w:hyperlink r:id="rId25" w:history="1">
        <w:r>
          <w:rPr/>
          <w:t xml:space="preserve">https://webct.ru</w:t>
        </w:r>
      </w:hyperlink>
      <w:r>
        <w:rPr/>
        <w:t xml:space="preserve"> ), Blackboard (</w:t>
      </w:r>
      <w:hyperlink r:id="rId26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7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8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9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0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1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2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 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3" w:history="1">
        <w:r>
          <w:rPr/>
          <w:t xml:space="preserve">https://vk.com/petrsu_ru</w:t>
        </w:r>
      </w:hyperlink>
      <w:r>
        <w:rPr/>
        <w:t xml:space="preserve"> ), 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 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12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E431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112CC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ED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9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B2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59943" TargetMode="External"/><Relationship Id="rId9" Type="http://schemas.openxmlformats.org/officeDocument/2006/relationships/hyperlink" Target="https://urait.ru/bcode/560410" TargetMode="External"/><Relationship Id="rId10" Type="http://schemas.openxmlformats.org/officeDocument/2006/relationships/hyperlink" Target="https://urait.ru/bcode/566502" TargetMode="External"/><Relationship Id="rId11" Type="http://schemas.openxmlformats.org/officeDocument/2006/relationships/hyperlink" Target="http://elibrary.karelia.ru/book.shtml?id=28615#t20c" TargetMode="External"/><Relationship Id="rId12" Type="http://schemas.openxmlformats.org/officeDocument/2006/relationships/hyperlink" Target="http://elibrary.karelia.ru/book.shtml?levelID=033&amp;id=22050&amp;cType=1" TargetMode="External"/><Relationship Id="rId13" Type="http://schemas.openxmlformats.org/officeDocument/2006/relationships/hyperlink" Target="http://elibrary.karelia.ru/book.shtml?levelID=033&amp;id=22526&amp;cType=1" TargetMode="External"/><Relationship Id="rId14" Type="http://schemas.openxmlformats.org/officeDocument/2006/relationships/hyperlink" Target="http://biblioclub.ru/index.php?page=book&amp;id=441285" TargetMode="External"/><Relationship Id="rId15" Type="http://schemas.openxmlformats.org/officeDocument/2006/relationships/hyperlink" Target="https://elibrary.petrsu.ru/book.shtml?levelID=033&amp;id=30518&amp;cType=1" TargetMode="External"/><Relationship Id="rId16" Type="http://schemas.openxmlformats.org/officeDocument/2006/relationships/hyperlink" Target="https://elibrary.petrsu.ru/book.shtml?levelID=033&amp;id=45956&amp;cType=1" TargetMode="External"/><Relationship Id="rId17" Type="http://schemas.openxmlformats.org/officeDocument/2006/relationships/hyperlink" Target="https://elibrary.petrsu.ru/books/64204" TargetMode="External"/><Relationship Id="rId18" Type="http://schemas.openxmlformats.org/officeDocument/2006/relationships/hyperlink" Target="http://lib.sportedu.ru/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iias.petrsu.ru" TargetMode="External"/><Relationship Id="rId23" Type="http://schemas.openxmlformats.org/officeDocument/2006/relationships/hyperlink" Target="https://edu.petrsu.ru" TargetMode="External"/><Relationship Id="rId24" Type="http://schemas.openxmlformats.org/officeDocument/2006/relationships/hyperlink" Target="https://moodle2.petrsu.ru" TargetMode="External"/><Relationship Id="rId25" Type="http://schemas.openxmlformats.org/officeDocument/2006/relationships/hyperlink" Target="https://webct.ru" TargetMode="External"/><Relationship Id="rId26" Type="http://schemas.openxmlformats.org/officeDocument/2006/relationships/hyperlink" Target="https://blackboard.petrsu.ru" TargetMode="External"/><Relationship Id="rId27" Type="http://schemas.openxmlformats.org/officeDocument/2006/relationships/hyperlink" Target="https://WebTutor.petrsu.ru" TargetMode="External"/><Relationship Id="rId28" Type="http://schemas.openxmlformats.org/officeDocument/2006/relationships/hyperlink" Target="https://portfolio.petrsu.ru" TargetMode="External"/><Relationship Id="rId29" Type="http://schemas.openxmlformats.org/officeDocument/2006/relationships/hyperlink" Target="https://library.petrsu.ru" TargetMode="External"/><Relationship Id="rId30" Type="http://schemas.openxmlformats.org/officeDocument/2006/relationships/hyperlink" Target="https://foliant.ru/catalog/psulibr" TargetMode="External"/><Relationship Id="rId31" Type="http://schemas.openxmlformats.org/officeDocument/2006/relationships/hyperlink" Target="https://elibrary.karelia.ru" TargetMode="External"/><Relationship Id="rId32" Type="http://schemas.openxmlformats.org/officeDocument/2006/relationships/hyperlink" Target="/page/science/journals" TargetMode="External"/><Relationship Id="rId33" Type="http://schemas.openxmlformats.org/officeDocument/2006/relationships/hyperlink" Target="https://vk.com/petrsu_ru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