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МЕДИЦИНСКИХ ЗНАНИЙ И ЗДОРОВОГО ОБРАЗА ЖИЗНИ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«Технологическое образование и дополнительное образование»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«Технологическое образование и дополнительное образование»).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Алексеева Анастасия Александровна, старший преподаватель, кафедра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педагогики и психологии.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Выполнение и защита выпускной квалификационной работы (И), Подготовка к сдаче и сдача государственного экзамена (И), Безопасность жизнедеятельности (О), Основы медицинских знаний и здорового образа жизни (Н), Основы производства и охрана труда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Теория решения изобретательских задач (О), Выполнение и защита выпускной квалификационной работы (И), Коррекционная педагогика с основами специальной психологии (О), Педагогическая практика (О), Черчение в школе (НО), Подготовка к сдаче и сдача государственного экзамена (И), Возрастная анатомия, физиология и гигиена (О), Методика обучения в системе дополнительного образования (О), Методика обучения труду (О), Основы медицинских знаний и здорового образа жизни (О), История образования и педагогической мысли (О), Теория обучения и воспитания (О), Введение в психологию (Н), Общая и социальная психология (О), Организация платных дополнительных образовательных услуг (О), Педагогические основы профессионального самоопределения (О), Возрастная психология (О), Педагогическая психология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медицинских знаний и здорового образа жизни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Здоровый образ жизни как биологическая и социальная задача.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неотложных состояниях, в том числе при при угрозе возникновения чрезвычайных ситуаций и военных конфликтов.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«здоровье», критерии здоровья нации; факторы, влияющие на здоровье, определение здорового образа жизни и его составляющих. Климатические условия Республики Карелии, негативно влияющие на здоровье населения.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Рациональное питание: Основные принципы (сбалансированность, умеренность, разнообразие). Пирамида питания. Режим питания. Питьевой режим. Особенности питания в современных условиях и в климате Карелии. Оптимальная физическая активность: Влияние на системы организма (сердечно-сосудистую, опорно-двигательную, нервную). Рекомендации ВОЗ по уровню физической нагрузки. Виды активности: аэробные, силовые, стретчинг.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Психоэмоциональное здоровье: Понятие стресса и дистресса. Методы управления стрессом и эмоциями (тайм-менеджмент, релаксация, хобби). Важность социальных связей и коммуникации. Гигиена сна: Важность сна для физического и психического восстановления. Правила гигиены сна. Последствия недосыпания.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Табакокурение: Состав табачного дыма, влияние на организм, понятие о пассивном курении. Употребление алкоголя: Мифы и реальность. Влияние на центральную нервную систему, печень, сердечно-сосудистую систему.  Наркотическая и иная зависимость (игровая, цифровая): Стадии формирования зависимости, последствия. Профилактика вредных привычек: Первичная, вторичная, третичная профилактика. Формирование личной стратегии отказа. Роль альтернативных форм поведения (спорт, творчество).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Проблемы здоровья обучающихся различных возрастных групп, в том числе с особыми образовательными потребностями.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Организационно-правовые аспекты оказания первой помощи.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помощи при отсутствии сознания, остановке дыхания и кровообращения.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помощи при наружных кровотечениях и травмах.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помощи при прочих состояниях.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показатели жизнедеятельности. Методика их определения и оценка.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мотивации к здоровому образу жизни. Профилактика вредных привычек.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Сформировать навыки планирования и проектирования индивидуальной программы ведения здорового образа жизни.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Влияние обучения в школах нового типа на состояние здоровья детей и подростков, в том числе в условиях инклюзивного образовательного процесса.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оказания первой помощи пострадавшим при извлечении из- под обломков, завалов зданий и техники.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приёмов восстановления проходимости верхних дыхательных путей. Оценка признаков жизни у пострадавшего. Выполнение алгоритма сердечно-легочной реанимации.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приемов придания оптимального положения тела пострадавшему при отсутствии сознания, травмах различных областей тела, значительной кровопотере.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приемов наложения повязок при ожогах различных областей тела. Применение местного охлаждения. Отработка приемов наложения термоизолирующей повязки при отморожениях.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приемов оказания психологической поддержки пострадавшим при различных острых стрессовых реакциях.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Общее понятие о болезни, профилактика болезней для поддержания здоровья в повседневной жизни и профессиональной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Инфекционные заболевания. Социально значимые инфекционные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Соматические заболевания. Социально значимые соматические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Сердечно-сосудистые заболевания.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Болезни органов дыхания;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Сахарный диабет.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желудочно-кишечного тракта.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Уровни профилактики соматических заболеваний.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Нервно-психические расстройства у детей и подростков.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Коронавирусная инфекция (2019-nCoV) как социально значимое инфекционное заболевание.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Инфекции, передающиеся преимущественно половым путем.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эссе: Роль педагогов в формировании, сохранении и укреплении здоровья детей и подростков и профилактике заболеваний.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эссе: Совместная деятельность образовательной организации и семьи в сохранении и укреплении здоровья и формировании основ здорового образа жизни детей, в том числе с ограниченными возможностями здоровья.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эссе: Планирование мероприятий по формированию, сохранению и укреплению здоровья детей в образовательных организациях, в том числе в условиях инклюзивного образовательного процесса и дополнительного образования.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Перечень состояний, при которых оказывается первая помощь, в случае возникновения чрезвычайных ситуаций и военных конфликтов.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Юридическая ответственность за правонарушения при оказании первой помощи в РФ.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занятиям, подготовка к опросу, подготовка к тестовому контролю знаний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учебной работы используются:</w:t>
      </w:r>
    </w:p>
    <w:p>
      <w:pPr/>
      <w:r>
        <w:rPr/>
        <w:t xml:space="preserve">- информационные коммуникативные технологии (презентации, работа в сети Интернет)</w:t>
      </w:r>
    </w:p>
    <w:p>
      <w:pPr/>
      <w:r>
        <w:rPr/>
        <w:t xml:space="preserve">- визуальные технические средства обучения (обучающие фильмы)</w:t>
      </w:r>
    </w:p>
    <w:p>
      <w:pPr/>
      <w:r>
        <w:rPr/>
        <w:t xml:space="preserve">- анализ проблем при помощи собеседования</w:t>
      </w:r>
    </w:p>
    <w:p>
      <w:pPr/>
      <w:r>
        <w:rPr/>
        <w:t xml:space="preserve">- выполнение практических работ</w:t>
      </w:r>
    </w:p>
    <w:p>
      <w:pPr/>
      <w:r>
        <w:rPr/>
        <w:t xml:space="preserve">- технология интерактивного обучения (решение ситуационных задач);</w:t>
      </w:r>
    </w:p>
    <w:p>
      <w:pPr/>
      <w:r>
        <w:rPr/>
        <w:t xml:space="preserve">- технология проблемного обучения через поисковую, исследовательскую деятельность</w:t>
      </w:r>
    </w:p>
    <w:p>
      <w:pPr/>
      <w:r>
        <w:rPr/>
        <w:t xml:space="preserve">- самостоятельное изучение материала посредством работы с учебной литературой, разработанным дистанционным курсом.</w:t>
      </w:r>
    </w:p>
    <w:p>
      <w:pPr/>
      <w:r>
        <w:rPr/>
        <w:t xml:space="preserve">Для изучения дисциплины предусмотрены следующие формы организации учебного процесса: лекции, практические занятия, самостоятельная работа студентов.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тест;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/>
    <w:p>
      <w:pPr/>
      <w:r>
        <w:rPr/>
        <w:t xml:space="preserve">Тест</w:t>
      </w:r>
    </w:p>
    <w:p>
      <w:pPr/>
      <w:r>
        <w:rPr/>
        <w:t xml:space="preserve">Для успешного выполнения теста необходимо набрать 70% правильных ответов. Количество попыток не ограничено</w:t>
      </w:r>
    </w:p>
    <w:p/>
    <w:p>
      <w:pPr/>
      <w:r>
        <w:rPr/>
        <w:t xml:space="preserve">Решение комплектов задач (рабочая тетрадь)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</w:t>
      </w:r>
    </w:p>
    <w:p>
      <w:pPr/>
      <w:r>
        <w:rPr>
          <w:u w:val="single"/>
        </w:rPr>
        <w:t xml:space="preserve">Требования к зачёту</w:t>
      </w:r>
    </w:p>
    <w:p>
      <w:pPr>
        <w:numPr>
          <w:ilvl w:val="0"/>
          <w:numId w:val="1"/>
        </w:numPr>
      </w:pPr>
      <w:r>
        <w:rPr/>
        <w:t xml:space="preserve">Студент должен правильно и полно ответить на два вопроса. Вопросы нацелены на оценку знаний, полученных в процессе изучения дисциплины, через ознакомление со специальной литературой, лекциями, с учётом активной работы на практических занятиях, которые ориентированы преимущественно на проверку умений и владений по оказанию первой помощи и использованию средств защиты в условиях чрезвычайной ситуации.</w:t>
      </w:r>
    </w:p>
    <w:p>
      <w:pPr>
        <w:numPr>
          <w:ilvl w:val="0"/>
          <w:numId w:val="1"/>
        </w:numPr>
      </w:pPr>
      <w:r>
        <w:rPr/>
        <w:t xml:space="preserve">Студент заранее знакомится с перечнем вопросов к зачёту.</w:t>
      </w:r>
    </w:p>
    <w:p>
      <w:pPr>
        <w:numPr>
          <w:ilvl w:val="0"/>
          <w:numId w:val="1"/>
        </w:numPr>
      </w:pPr>
      <w:r>
        <w:rPr/>
        <w:t xml:space="preserve">В процессе подготовки к ответу не разрешается использовать какую-либо дополнительную литературу.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тематическому модулю «Первая помощь при неотложных состояниях, в том числе при при угрозе возникновения чрезвычайных ситуаций и военных конфликтов», поскольку материал данного раздела содержит современные рекомендации как по оказанию первой помощи пострадавшим при несчастных случаях, травмах, отравлениях и других состояниях и заболеваниях, угрожающих жизни и здоровью.</w:t>
      </w:r>
    </w:p>
    <w:p>
      <w:pPr/>
      <w:r>
        <w:rPr>
          <w:b w:val="1"/>
          <w:bCs w:val="1"/>
        </w:rPr>
        <w:t xml:space="preserve">При подготовке эссе</w:t>
      </w:r>
      <w:r>
        <w:rPr/>
        <w:t xml:space="preserve">: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</w:t>
      </w:r>
      <w:r>
        <w:rPr/>
        <w:t xml:space="preserve"> </w:t>
      </w:r>
      <w:r>
        <w:rPr/>
        <w:t xml:space="preserve"> Быть готовым ответить в форме собеседования на уточняющие вопросы.</w:t>
      </w:r>
    </w:p>
    <w:p>
      <w:pPr/>
      <w:r>
        <w:rPr/>
        <w:t xml:space="preserve">При подготовке к зачёту необходимо изучить материал по вопросам, используя рекомендуемую учебную литературу и материал лекций и практических занятий.</w:t>
      </w:r>
    </w:p>
    <w:p>
      <w:pPr/>
      <w:r>
        <w:rPr/>
        <w:t xml:space="preserve">В процессе решения ситуационных задач осваиваются алгоритмы педагогического мышления в сфере обеспечения безопасности жизнедеятельности и умения оказания первой помощи при травмах и заболеваниях, без овладения которыми невозможно успешное решение практических проблем. Эти алгоритмы действий включают в себя:</w:t>
      </w:r>
    </w:p>
    <w:p>
      <w:pPr/>
      <w:r>
        <w:rPr/>
        <w:t xml:space="preserve">– изучение конкретной ситуации, требующей обоснования или решения;</w:t>
      </w:r>
    </w:p>
    <w:p>
      <w:pPr/>
      <w:r>
        <w:rPr/>
        <w:t xml:space="preserve">– оценка или квалификация этой ситуации;</w:t>
      </w:r>
    </w:p>
    <w:p>
      <w:pPr/>
      <w:r>
        <w:rPr/>
        <w:t xml:space="preserve">– поиск соответствующих решений из ранее изученного теоретического или практического материала;</w:t>
      </w:r>
    </w:p>
    <w:p>
      <w:pPr/>
      <w:r>
        <w:rPr/>
        <w:t xml:space="preserve">– толкование правовых, ценностных и иных видов норм, подлежащих применению;</w:t>
      </w:r>
    </w:p>
    <w:p>
      <w:pPr/>
      <w:r>
        <w:rPr/>
        <w:t xml:space="preserve">– принятие решения, разрешающего конкретную заданную ситуацию;</w:t>
      </w:r>
    </w:p>
    <w:p>
      <w:pPr/>
      <w:r>
        <w:rPr/>
        <w:t xml:space="preserve">– обоснование принятого решения, его формулирование в письменном или устном виде;</w:t>
      </w:r>
    </w:p>
    <w:p>
      <w:pPr/>
      <w:r>
        <w:rPr/>
        <w:t xml:space="preserve">– проецирование решения на реальную действительность, прогнозирование процесса его исполнения, достижения тех целей, ради которых оно принималось.</w:t>
      </w:r>
    </w:p>
    <w:p>
      <w:pPr/>
      <w:r>
        <w:rPr/>
        <w:t xml:space="preserve">Условия задач включают все фактические обстоятельства, необходимые для вынесения определенного решения по вопросу, сформулированному в тексте задачи. В ответе на поставленные в задаче вопросы необходимо дать обоснованную оценку предложенной ситуации. При этом выводы должны быть мотивированы. При решении задач недопустимо ограничиваться однозначным ответом "да" или "нет". </w:t>
      </w:r>
      <w:r>
        <w:rPr/>
        <w:t xml:space="preserve"> </w:t>
      </w:r>
      <w:r>
        <w:rPr/>
        <w:t xml:space="preserve">Необходим максимально полный ответ. Подготовка к анализу ситуации включает следующие рекомендации:</w:t>
      </w:r>
    </w:p>
    <w:p>
      <w:pPr/>
      <w:r>
        <w:rPr/>
        <w:t xml:space="preserve">1.Сначала прочитайте всю имеющуюся информацию, чтобы составить целостное представление о ситуации. Читая, не пытайтесь сразу анализировать.</w:t>
      </w:r>
    </w:p>
    <w:p>
      <w:pPr/>
      <w:r>
        <w:rPr/>
        <w:t xml:space="preserve">2.Еще раз внимательно прочитайте информацию. Выделите те симптомы, которые вам показались важными.</w:t>
      </w:r>
    </w:p>
    <w:p>
      <w:pPr/>
      <w:r>
        <w:rPr/>
        <w:t xml:space="preserve">3.Постарайтесь охарактеризовать ситуацию. Определите, в чем ее сущность, и что второстепенно. Затем письменно зафиксируйте выводы — основную проблему и проблемы, ей подчиненные.</w:t>
      </w:r>
    </w:p>
    <w:p>
      <w:pPr/>
      <w:r>
        <w:rPr/>
        <w:t xml:space="preserve">4.Зафиксируйте все факты, касающиеся этой проблемы. Не все факты, изложенные в ситуации, могут быть прямо связаны с ней. Так будет легче проследить взаимосвязь между приведенными данными.</w:t>
      </w:r>
    </w:p>
    <w:p>
      <w:pPr/>
      <w:r>
        <w:rPr/>
        <w:t xml:space="preserve">5.Сформулируйте критерии для проверки правильности предложенного решения.</w:t>
      </w:r>
    </w:p>
    <w:p>
      <w:pPr/>
      <w:r>
        <w:rPr/>
        <w:t xml:space="preserve">6.Попробуйте найти альтернативные варианты решения, если такие существуют. Какие из них наиболее удовлетворяют критерию?</w:t>
      </w:r>
    </w:p>
    <w:p>
      <w:pPr/>
      <w:r>
        <w:rPr/>
        <w:t xml:space="preserve">7.Разработайте перечень практических мероприятий по реализации нашего решения.</w:t>
      </w:r>
    </w:p>
    <w:p>
      <w:pPr/>
      <w:r>
        <w:rPr/>
        <w:t xml:space="preserve"> </w:t>
      </w:r>
    </w:p>
    <w:p>
      <w:pPr/>
      <w:r>
        <w:rPr/>
        <w:t xml:space="preserve">Критерии оценивания решения задач:</w:t>
      </w:r>
    </w:p>
    <w:p>
      <w:pPr/>
      <w:r>
        <w:rPr/>
        <w:t xml:space="preserve">– оценка «отлично»: ответ на вопрос задачи дан правильный. Объяснение хода ее решения подробное, последовательное, грамотное, с теоретическими обоснованиями (в том числе </w:t>
      </w:r>
      <w:r>
        <w:rPr/>
        <w:t xml:space="preserve"> </w:t>
      </w:r>
      <w:r>
        <w:rPr/>
        <w:t xml:space="preserve">из лекционного курса); с правильным и свободным владением терминологией. Ответы на дополнительные вопросы верные, четкие; практические умения быстрые и правильные</w:t>
      </w:r>
    </w:p>
    <w:p>
      <w:pPr/>
      <w:r>
        <w:rPr/>
        <w:t xml:space="preserve">– оценка «хорошо»: ответ на вопрос задачи дан правильный. Объяснение хода ее решения подробное, но недостаточно логичное, с единичными ошибками в деталях, </w:t>
      </w:r>
      <w:r>
        <w:rPr/>
        <w:t xml:space="preserve"> </w:t>
      </w:r>
      <w:r>
        <w:rPr/>
        <w:t xml:space="preserve">с некоторыми затруднениями в теоретическом обосновании (в том числе из лекционного материала), с некоторыми затруднениями в практических</w:t>
      </w:r>
      <w:r>
        <w:rPr/>
        <w:t xml:space="preserve"> </w:t>
      </w:r>
      <w:r>
        <w:rPr/>
        <w:t xml:space="preserve"> умениях. Ответы на дополнительные вопросы верные, но недостаточно четкие.</w:t>
      </w:r>
    </w:p>
    <w:p>
      <w:pPr/>
      <w:r>
        <w:rPr/>
        <w:t xml:space="preserve">– оценка «удовлетворительно»: ответ на вопрос задачи дан правильный. Объяснение хода ее решения недостаточно полное, непоследовательное, с ошибками, слабым теоретическим обоснованием (в том числе лекционным материалом), ответы на дополнительные вопросы недостаточно четкие, с ошибками в деталях и практических умениях.</w:t>
      </w:r>
    </w:p>
    <w:p>
      <w:pPr/>
      <w:r>
        <w:rPr/>
        <w:t xml:space="preserve">– оценка «неудовлетворительно»: ответ на вопрос задачи дан не правильный. Объяснение хода ее решения дано неполное, непоследовательное, с грубыми ошибками, без теоретического обоснования (в том числе лекционным материалом), с большим количеством ошибок. Ответы на дополнительные вопросы неправильные или отсутствуют.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Раздел: Здоровый образ жизни как биологическая и социальная задача.</w:t>
      </w:r>
    </w:p>
    <w:p>
      <w:pPr/>
      <w:r>
        <w:rPr/>
        <w:t xml:space="preserve">Методы обучения: Словесный метод - лекции с элементами беседы.</w:t>
      </w:r>
    </w:p>
    <w:p>
      <w:pPr/>
      <w:r>
        <w:rPr/>
        <w:t xml:space="preserve">Средства обучения: обучающие фильмы.</w:t>
      </w:r>
    </w:p>
    <w:p>
      <w:pPr/>
      <w:r>
        <w:rPr/>
        <w:t xml:space="preserve">Раздел: Первая помощь при неотложных состояниях, в том числе при при угрозе возникновения чрезвычайных ситуаций и военных конфликтов.</w:t>
      </w:r>
    </w:p>
    <w:p>
      <w:pPr/>
      <w:r>
        <w:rPr/>
        <w:t xml:space="preserve">Методы обучения: Словесный метод - лекции с элементами беседы</w:t>
      </w:r>
    </w:p>
    <w:p>
      <w:pPr/>
      <w:r>
        <w:rPr/>
        <w:t xml:space="preserve">Практический метод – оценка состояния и правильность оказания первой помощи пострадавшим (заболевшим) обучающимися в различных жизненных ситуациях по предложенным ситуационным задачам с использованием манекенов.</w:t>
      </w:r>
    </w:p>
    <w:p>
      <w:pPr/>
      <w:r>
        <w:rPr/>
        <w:t xml:space="preserve">Средства обучения: Манекен-взрослый для проведения реанимации, бинты, шины, тонометры, фонендоскопы, термометры, шины, косынки, манекен-ребенок для проведения реанимации, жгуты, применение наглядных пособий, пузырь для льда, грелка.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Волокитина Т. В. «Основы медицинских знаний» / Т.</w:t>
      </w:r>
      <w:r>
        <w:rPr/>
        <w:t xml:space="preserve"> </w:t>
      </w:r>
      <w:r>
        <w:rPr/>
        <w:t xml:space="preserve"> В. Волокитина, Г.</w:t>
      </w:r>
      <w:r>
        <w:rPr/>
        <w:t xml:space="preserve"> </w:t>
      </w:r>
      <w:r>
        <w:rPr/>
        <w:t xml:space="preserve"> Г. Бральнина, Н. И. Никитинская – Москва : « Академия», 2008.–223 с</w:t>
      </w:r>
    </w:p>
    <w:p>
      <w:pPr>
        <w:numPr>
          <w:ilvl w:val="0"/>
          <w:numId w:val="2"/>
        </w:numPr>
      </w:pPr>
      <w:r>
        <w:rPr/>
        <w:t xml:space="preserve">Мельникова М. М. Медицина катастроф : учеб. Пособие /М. М. Мельникова [и др.].– </w:t>
      </w:r>
      <w:r>
        <w:rPr/>
        <w:t xml:space="preserve">Новосибирск : АРТА, 2011. – 272с.</w:t>
      </w:r>
    </w:p>
    <w:p>
      <w:pPr>
        <w:numPr>
          <w:ilvl w:val="0"/>
          <w:numId w:val="2"/>
        </w:numPr>
      </w:pPr>
      <w:r>
        <w:rPr/>
        <w:t xml:space="preserve">Тен Е. Е. Основы медицинских знаний / Е. Е. Тен. – Москва : Академия, 2005.– </w:t>
      </w:r>
      <w:r>
        <w:rPr/>
        <w:t xml:space="preserve">255с.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Аверьянов М. Ю., Смирнов В. П. Повязки в лечебной практике: учеб. пособие для студенч. учреждений средн. мед. проф. образования – Москва: Изд. </w:t>
      </w:r>
      <w:r>
        <w:rPr/>
        <w:t xml:space="preserve">Центр «Академия», 2010.– 128с. </w:t>
      </w:r>
    </w:p>
    <w:p>
      <w:pPr>
        <w:numPr>
          <w:ilvl w:val="0"/>
          <w:numId w:val="3"/>
        </w:numPr>
      </w:pPr>
      <w:r>
        <w:rPr/>
        <w:t xml:space="preserve">Биржаков М. Б. Введение в туризм. Москва – Санкт-Петербург : «Изд. Дом Герда»</w:t>
      </w:r>
      <w:r>
        <w:rPr/>
        <w:t xml:space="preserve"> </w:t>
      </w:r>
      <w:r>
        <w:rPr/>
        <w:t xml:space="preserve"> 2003г. </w:t>
      </w:r>
      <w:r>
        <w:rPr/>
        <w:t xml:space="preserve">318 с.</w:t>
      </w:r>
    </w:p>
    <w:p>
      <w:pPr>
        <w:numPr>
          <w:ilvl w:val="0"/>
          <w:numId w:val="3"/>
        </w:numPr>
      </w:pPr>
      <w:r>
        <w:rPr/>
        <w:t xml:space="preserve">Глыбочко П. В. Первая медицинская помощь</w:t>
      </w:r>
      <w:r>
        <w:rPr/>
        <w:t xml:space="preserve"> </w:t>
      </w:r>
      <w:r>
        <w:rPr/>
        <w:t xml:space="preserve"> / П. В.</w:t>
      </w:r>
      <w:r>
        <w:rPr/>
        <w:t xml:space="preserve"> </w:t>
      </w:r>
      <w:r>
        <w:rPr/>
        <w:t xml:space="preserve"> Глыбочко с соавт.– Москва «Академия», 2008 г.– 233с.</w:t>
      </w:r>
      <w:r>
        <w:rPr/>
        <w:t xml:space="preserve">     </w:t>
      </w:r>
    </w:p>
    <w:p>
      <w:pPr>
        <w:numPr>
          <w:ilvl w:val="0"/>
          <w:numId w:val="3"/>
        </w:numPr>
      </w:pPr>
      <w:r>
        <w:rPr/>
        <w:t xml:space="preserve">Соловьёв С. С. Безопасный отдых и туризм : уч. пос. для стед.</w:t>
      </w:r>
      <w:r>
        <w:rPr/>
        <w:t xml:space="preserve"> </w:t>
      </w:r>
      <w:r>
        <w:rPr/>
        <w:t xml:space="preserve"> высших уч. заведений</w:t>
      </w:r>
      <w:r>
        <w:rPr/>
        <w:t xml:space="preserve"> </w:t>
      </w:r>
      <w:r>
        <w:rPr/>
        <w:t xml:space="preserve"> –</w:t>
      </w:r>
      <w:r>
        <w:rPr/>
        <w:t xml:space="preserve"> </w:t>
      </w:r>
      <w:r>
        <w:rPr/>
        <w:t xml:space="preserve"> Москва. Изд. Центр «Академия» 2008г .– </w:t>
      </w:r>
      <w:r>
        <w:rPr/>
        <w:t xml:space="preserve">282с.              </w:t>
      </w:r>
    </w:p>
    <w:p>
      <w:pPr>
        <w:numPr>
          <w:ilvl w:val="0"/>
          <w:numId w:val="3"/>
        </w:numPr>
      </w:pPr>
      <w:r>
        <w:rPr/>
        <w:t xml:space="preserve">Туманян Г. С. «Здоровый образ жизни и физическое совершенствование»: учебное пособие</w:t>
      </w:r>
      <w:r>
        <w:rPr/>
        <w:t xml:space="preserve"> </w:t>
      </w:r>
      <w:r>
        <w:rPr/>
        <w:t xml:space="preserve"> / Туманян Г.</w:t>
      </w:r>
      <w:r>
        <w:rPr/>
        <w:t xml:space="preserve"> </w:t>
      </w:r>
      <w:r>
        <w:rPr/>
        <w:t xml:space="preserve"> </w:t>
      </w:r>
      <w:r>
        <w:rPr/>
        <w:t xml:space="preserve">С. – Москва «Академия», 2006 г. – 334 с. </w:t>
      </w:r>
    </w:p>
    <w:p>
      <w:pPr>
        <w:numPr>
          <w:ilvl w:val="0"/>
          <w:numId w:val="3"/>
        </w:numPr>
      </w:pPr>
      <w:r>
        <w:rPr/>
        <w:t xml:space="preserve">Щанкин, А. А. Курс лекций по основам медицинских знаний и здорового образа жизни : учебное пособие : [16+] / А.А.</w:t>
      </w:r>
      <w:r>
        <w:rPr/>
        <w:t xml:space="preserve"> </w:t>
      </w:r>
      <w:r>
        <w:rPr/>
        <w:t xml:space="preserve">Щанкин. – 2-е изд., стер. – Москва ; Берлин : Директ-Медиа, 2019. – 98 с.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https://biblioclub.ru/index.php?page=book&amp;id=577666</w:t>
        </w:r>
      </w:hyperlink>
      <w:r>
        <w:rPr/>
        <w:t xml:space="preserve"> </w:t>
      </w:r>
      <w:r>
        <w:rPr/>
        <w:t xml:space="preserve"> – </w:t>
      </w:r>
      <w:r>
        <w:rPr/>
        <w:t xml:space="preserve">ISBN</w:t>
      </w:r>
      <w:r>
        <w:rPr/>
        <w:t xml:space="preserve"> 978-5-4499-0140-8. – </w:t>
      </w:r>
      <w:r>
        <w:rPr/>
        <w:t xml:space="preserve">DOI</w:t>
      </w:r>
      <w:r>
        <w:rPr/>
        <w:t xml:space="preserve">23681/577666. – Текст : электронный.</w:t>
      </w:r>
      <w:r>
        <w:rPr/>
        <w:t xml:space="preserve">                  </w:t>
      </w:r>
    </w:p>
    <w:p>
      <w:pPr>
        <w:numPr>
          <w:ilvl w:val="0"/>
          <w:numId w:val="3"/>
        </w:numPr>
      </w:pPr>
      <w:r>
        <w:rPr/>
        <w:t xml:space="preserve">Мисюк М. Н. Основы медицинских знаний и здорового образа жизни. </w:t>
      </w:r>
      <w:r>
        <w:rPr/>
        <w:t xml:space="preserve">2015 .</w:t>
      </w:r>
    </w:p>
    <w:p>
      <w:pPr>
        <w:numPr>
          <w:ilvl w:val="0"/>
          <w:numId w:val="3"/>
        </w:numPr>
      </w:pPr>
      <w:hyperlink r:id="rId8" w:history="1">
        <w:r>
          <w:rPr/>
          <w:t xml:space="preserve">https://studme.org/1584072027375/meditsina/osnovy_meditsinskih_znaniy_i_zdorovogo_obraza_zhizni</w:t>
        </w:r>
      </w:hyperlink>
    </w:p>
    <w:p>
      <w:pPr>
        <w:numPr>
          <w:ilvl w:val="0"/>
          <w:numId w:val="3"/>
        </w:numPr>
      </w:pPr>
      <w:r>
        <w:rPr/>
        <w:t xml:space="preserve">Низкодубова С. В. Основы медицинских знаний. Учебное пособие. Томск, 2003</w:t>
      </w:r>
      <w:r>
        <w:rPr/>
        <w:t xml:space="preserve"> </w:t>
      </w:r>
      <w:hyperlink r:id="rId9" w:history="1">
        <w:r>
          <w:rPr/>
          <w:t xml:space="preserve">https://www.tspu.edu.ru/oldfiles/libserv/files/Nizkodubova_osnovi_med_znanii.pd</w:t>
        </w:r>
      </w:hyperlink>
    </w:p>
    <w:p>
      <w:pPr>
        <w:numPr>
          <w:ilvl w:val="0"/>
          <w:numId w:val="3"/>
        </w:numPr>
      </w:pPr>
      <w:r>
        <w:rPr/>
        <w:t xml:space="preserve">Н. А. Мельникова, Е. А. Шамрова, Н. В. Громова. Основы медицинских знаний и здорового образа жизни. </w:t>
      </w:r>
      <w:r>
        <w:rPr/>
        <w:t xml:space="preserve">2007 </w:t>
      </w:r>
      <w:hyperlink r:id="rId10" w:history="1">
        <w:r>
          <w:rPr/>
          <w:t xml:space="preserve">https://медпортал.com/valeologiya_738/osnovyi-meditsinskih-znaniy-zdorovogo-obraza348.html</w:t>
        </w:r>
      </w:hyperlink>
    </w:p>
    <w:p>
      <w:pPr>
        <w:numPr>
          <w:ilvl w:val="0"/>
          <w:numId w:val="3"/>
        </w:numPr>
      </w:pPr>
      <w:r>
        <w:rPr/>
        <w:t xml:space="preserve">Основы МЕДИЦИНСКИХ ЗНАНИЙ И ЗДОРОВОГО</w:t>
      </w:r>
      <w:r>
        <w:rPr/>
        <w:t xml:space="preserve"> </w:t>
      </w:r>
      <w:r>
        <w:rPr/>
        <w:t xml:space="preserve">ОБРАЗА ЖИЗНИ. Учебное пособие. Арзамас</w:t>
      </w:r>
      <w:r>
        <w:rPr/>
        <w:t xml:space="preserve"> </w:t>
      </w:r>
      <w:r>
        <w:rPr/>
        <w:t xml:space="preserve">АГПИ – 2009 </w:t>
      </w:r>
      <w:hyperlink r:id="rId11" w:history="1">
        <w:r>
          <w:rPr/>
          <w:t xml:space="preserve">https://uchebnik-online.net/book/517-osnovy-medicinskix-znanij-i-zdorovogo-obraza-zhizni-uchebnoe-posobie-gorshkov-yui/1-soderzhanie.html</w:t>
        </w:r>
      </w:hyperlink>
    </w:p>
    <w:p>
      <w:pPr>
        <w:numPr>
          <w:ilvl w:val="0"/>
          <w:numId w:val="3"/>
        </w:numPr>
      </w:pPr>
      <w:r>
        <w:rPr/>
        <w:t xml:space="preserve">Сычев Ю. Н. Безопасность жизнедеятельности в чрезвычайных ситуациях [Электронный ресурс] : учеб. пособие / Ю. Н. Сычев. – Москва : Финансы и статистика, 2014. – Режим доступа: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studentlibrary</w:t>
      </w:r>
      <w:r>
        <w:rPr/>
        <w:t xml:space="preserve">.</w:t>
      </w:r>
      <w:r>
        <w:rPr/>
        <w:t xml:space="preserve">ru           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/>
    </w:p>
    <w:p>
      <w:pPr>
        <w:numPr>
          <w:ilvl w:val="0"/>
          <w:numId w:val="4"/>
        </w:numPr>
      </w:pPr>
      <w:r>
        <w:rPr/>
        <w:t xml:space="preserve">электронный каталог научной библиотеки ПетрГУ </w:t>
      </w:r>
      <w:hyperlink r:id="rId12" w:history="1">
        <w:r>
          <w:rPr/>
          <w:t xml:space="preserve">http://foliant/ru/catalog/psulibr</w:t>
        </w:r>
      </w:hyperlink>
    </w:p>
    <w:p>
      <w:pPr>
        <w:numPr>
          <w:ilvl w:val="0"/>
          <w:numId w:val="4"/>
        </w:numPr>
      </w:pPr>
      <w:r>
        <w:rPr/>
        <w:t xml:space="preserve">электронная библиотека Республика Карелия </w:t>
      </w:r>
      <w:hyperlink r:id="rId13" w:history="1">
        <w:r>
          <w:rPr/>
          <w:t xml:space="preserve">http://elibrary.karelia.ru</w:t>
        </w:r>
      </w:hyperlink>
    </w:p>
    <w:p>
      <w:pPr>
        <w:numPr>
          <w:ilvl w:val="0"/>
          <w:numId w:val="4"/>
        </w:numPr>
      </w:pPr>
      <w:r>
        <w:rPr/>
        <w:t xml:space="preserve">электронная библиотечная система "Университетская библиотека онлайн"</w:t>
      </w:r>
      <w:r>
        <w:rPr/>
        <w:t xml:space="preserve"> </w:t>
      </w:r>
      <w:r>
        <w:rPr/>
        <w:t xml:space="preserve"> </w:t>
      </w:r>
      <w:hyperlink r:id="rId14" w:history="1">
        <w:r>
          <w:rPr/>
          <w:t xml:space="preserve">http://biblioclub.ru</w:t>
        </w:r>
      </w:hyperlink>
    </w:p>
    <w:p>
      <w:pPr>
        <w:numPr>
          <w:ilvl w:val="0"/>
          <w:numId w:val="4"/>
        </w:numPr>
      </w:pPr>
      <w:hyperlink r:id="rId15" w:history="1">
        <w:r>
          <w:rPr/>
          <w:t xml:space="preserve">Электронный каталог Научной библиотеки ПетрГУ</w:t>
        </w:r>
      </w:hyperlink>
    </w:p>
    <w:p>
      <w:pPr>
        <w:numPr>
          <w:ilvl w:val="0"/>
          <w:numId w:val="4"/>
        </w:numPr>
      </w:pPr>
      <w:hyperlink r:id="rId16" w:history="1">
        <w:r>
          <w:rPr/>
          <w:t xml:space="preserve">Электронная библиотечная система «Консультант студента. Электронная библиотека медицинского ВУЗа»</w:t>
        </w:r>
      </w:hyperlink>
    </w:p>
    <w:p>
      <w:pPr>
        <w:numPr>
          <w:ilvl w:val="0"/>
          <w:numId w:val="4"/>
        </w:numPr>
      </w:pPr>
      <w:hyperlink r:id="rId17" w:history="1">
        <w:r>
          <w:rPr/>
          <w:t xml:space="preserve">Электронная библиотечная система «Юрайт»</w:t>
        </w:r>
      </w:hyperlink>
    </w:p>
    <w:p>
      <w:pPr>
        <w:numPr>
          <w:ilvl w:val="0"/>
          <w:numId w:val="4"/>
        </w:numPr>
      </w:pPr>
      <w:r>
        <w:rPr/>
        <w:t xml:space="preserve">Информационно-справочные системы</w:t>
      </w:r>
      <w:r>
        <w:rPr/>
        <w:t xml:space="preserve"> </w:t>
      </w:r>
      <w:hyperlink r:id="rId18" w:history="1">
        <w:r>
          <w:rPr/>
          <w:t xml:space="preserve">«Кодекс»</w:t>
        </w:r>
      </w:hyperlink>
      <w:r>
        <w:rPr/>
        <w:t xml:space="preserve"> </w:t>
      </w:r>
      <w:r>
        <w:rPr/>
        <w:t xml:space="preserve">и «Техэксперт»</w:t>
      </w:r>
    </w:p>
    <w:p>
      <w:pPr>
        <w:numPr>
          <w:ilvl w:val="0"/>
          <w:numId w:val="5"/>
        </w:numPr>
      </w:pPr>
      <w:hyperlink r:id="rId19" w:history="1">
        <w:r>
          <w:rPr/>
          <w:t xml:space="preserve">Министерство здравоохранения Российской Федерации (minzdrav.gov.ru)</w:t>
        </w:r>
      </w:hyperlink>
    </w:p>
    <w:p>
      <w:pPr>
        <w:numPr>
          <w:ilvl w:val="0"/>
          <w:numId w:val="5"/>
        </w:numPr>
      </w:pPr>
      <w:hyperlink r:id="rId20" w:history="1">
        <w:r>
          <w:rPr/>
  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(mchs.gov.ru)</w:t>
        </w:r>
      </w:hyperlink>
    </w:p>
    <w:p>
      <w:pPr>
        <w:numPr>
          <w:ilvl w:val="0"/>
          <w:numId w:val="5"/>
        </w:numPr>
      </w:pPr>
      <w:hyperlink r:id="rId21" w:history="1">
        <w:r>
          <w:rPr/>
          <w:t xml:space="preserve">Web-Атлас Здоровье и окружающая среда. Оглавление (aha.ru)</w:t>
        </w:r>
      </w:hyperlink>
    </w:p>
    <w:p>
      <w:pPr>
        <w:numPr>
          <w:ilvl w:val="0"/>
          <w:numId w:val="5"/>
        </w:numPr>
      </w:pPr>
      <w:hyperlink r:id="rId22" w:history="1">
        <w:r>
          <w:rPr/>
          <w:t xml:space="preserve">Журнал Безопасность жизнедеятельности (novtex.ru)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63E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3A3F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D89B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652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824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3FB7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577666" TargetMode="External"/><Relationship Id="rId8" Type="http://schemas.openxmlformats.org/officeDocument/2006/relationships/hyperlink" Target="https://studme.org/1584072027375/meditsina/osnovy_meditsinskih_znaniy_i_zdorovogo_obraza_zhizni" TargetMode="External"/><Relationship Id="rId9" Type="http://schemas.openxmlformats.org/officeDocument/2006/relationships/hyperlink" Target="https://www.tspu.edu.ru/oldfiles/libserv/files/Nizkodubova_osnovi_med_znanii.pdf" TargetMode="External"/><Relationship Id="rId10" Type="http://schemas.openxmlformats.org/officeDocument/2006/relationships/hyperlink" Target="https://&#1084;&#1077;&#1076;&#1087;&#1086;&#1088;&#1090;&#1072;&#1083;.com/valeologiya_738/osnovyi-meditsinskih-znaniy-zdorovogo-obraza348.html" TargetMode="External"/><Relationship Id="rId11" Type="http://schemas.openxmlformats.org/officeDocument/2006/relationships/hyperlink" Target="https://uchebnik-online.net/book/517-osnovy-medicinskix-znanij-i-zdorovogo-obraza-zhizni-uchebnoe-posobie-gorshkov-yui/1-soderzhanie.html" TargetMode="External"/><Relationship Id="rId12" Type="http://schemas.openxmlformats.org/officeDocument/2006/relationships/hyperlink" Target="http://foliant/ru/catalog/psulibr" TargetMode="External"/><Relationship Id="rId13" Type="http://schemas.openxmlformats.org/officeDocument/2006/relationships/hyperlink" Target="http://elibrary.karelia.ru/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foliant.ru/catalog/psulibr" TargetMode="External"/><Relationship Id="rId16" Type="http://schemas.openxmlformats.org/officeDocument/2006/relationships/hyperlink" Target="http://www.studmedlib.ru/" TargetMode="External"/><Relationship Id="rId17" Type="http://schemas.openxmlformats.org/officeDocument/2006/relationships/hyperlink" Target="https://www.biblio-online.ru/" TargetMode="External"/><Relationship Id="rId18" Type="http://schemas.openxmlformats.org/officeDocument/2006/relationships/hyperlink" Target="http://kodeks.karelia.ru/petrsu" TargetMode="External"/><Relationship Id="rId19" Type="http://schemas.openxmlformats.org/officeDocument/2006/relationships/hyperlink" Target="https://minzdrav.gov.ru/" TargetMode="External"/><Relationship Id="rId20" Type="http://schemas.openxmlformats.org/officeDocument/2006/relationships/hyperlink" Target="https://www.mchs.gov.ru/?ysclid=l4wmf7ht9h655124808" TargetMode="External"/><Relationship Id="rId21" Type="http://schemas.openxmlformats.org/officeDocument/2006/relationships/hyperlink" Target="http://www.sci.aha.ru/ATL/ra00.htm" TargetMode="External"/><Relationship Id="rId22" Type="http://schemas.openxmlformats.org/officeDocument/2006/relationships/hyperlink" Target="http://novtex.ru/bj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2026-04-21T07:44:38+03:00</dcterms:created>
  <dcterms:modified xsi:type="dcterms:W3CDTF">2026-04-21T07:44:38+03:00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