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955 (с изменениями от 27.02.2023 г. №208, от 19.07.2022 №662, от 26.11.2020 №1456)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Крикунов Геннадий Анатольевич, старший преподаватель, кафедра физической культуры;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В.Н. Кремнева,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Физическая культура и спорт (НОИ), Подготовка к сдаче и сдача государственного экзамена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Основы здорового образа жизни. Профилактика вредных привычек.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Баскетбол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Волейбол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.Особенности организации учебного процесса для студентов ПетрГУ по дисциплине &amp;quot;физическая культура и спорт&amp;amp;amp;quot;. Спортивный досуг, ВФСК ГТО, роль физической культуры в поддержании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Вредные привычки - как им противостоять, здоровая альтернатива. Физическая активность неотъемлемая часть здорового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в ПетрГУ. Пешие походы: основные правила безопасности. Выход на КП ПетрГУ: туристическая полоса препятствий.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бега на короткие дистанции. стартовый разгон, бег по дистанции, финишное ускорение, остановка после финиширования.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бега на средние и дальние дистанции. Старт, стартовый разгон, бег по дистанции, финишное ускорение, остановка после финиширования.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эстафетного бега. Старт, стартовый разгон, бег по дистанции, финишное ускорение, остановка после финиширования.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кроссфита. Изучение упражнений силовой направленности на укрепление основных групп мышц.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круговой тренировки. Изучение проведения, освоение основных видов упражнений на развитие силы,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игры в баскетбол. Техника броска. Бросок одной рукой на месте. Бросок рукой в кольцо с расстояния 1 метр. Средний бросок. Два шага - бросок. Два шага - бросок снизу.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Остановка прыжком. Остановка шагами. Зигзаг без остановкой прыжком. Зигзаг без мяча с остановкой шагами.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передачи мяча. Передача двумя руками в стену, одной рукой в стену, одной рукой лёжа. Основы техники ведения мяча: ладонями мячу, мяч на пальцах, мяч вокруг тела. Ознакомление с понятием дриблинг (низкий - на месте, средний - в движении, V-дриблинг перед собой), кроссовер, перевод под ногой.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игры в волейбол. с основными приёмами: подача, приём, передача, нападающий удар, блокирование.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игры в волейбол. Стойки (устойчивая, основная, неустойчивая, динамичная) и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подготовки. Особенности распасовки. Принципы либеро.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безопасности поведения на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приложений), проводятся мастер-классы, фестивали по разным видам спорта.</w:t>
      </w:r>
    </w:p>
    <w:p>
      <w:pPr/>
      <w:r>
        <w:rPr/>
        <w:t xml:space="preserve">Используются материалы видеозаписей по технике выполнения отдельных упражнений. Применяется метод демонстрации изучаемых двигательных действий лучшими студентами.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При написании реферативной работы -  раскрыть степень научной разработанности различных проблем, связанных с темой исследования, сравнить альтернативные точки зрения, сформулировать собственную позицию. </w:t>
      </w:r>
      <w:r>
        <w:rPr>
          <w:i w:val="1"/>
          <w:iCs w:val="1"/>
        </w:rPr>
        <w:t xml:space="preserve">Реферат </w:t>
      </w:r>
      <w:r>
        <w:rPr/>
        <w:t xml:space="preserve">– это не переписывание литературных и прочих источников, а их анализ, сопоставление позиций различных авторов. Обязательна корректная расстановка ссылок, точное указание фамилий и инициалов ученых, приветствуется использование как отечественных, так и зарубежных (переводных) источников.</w:t>
      </w:r>
    </w:p>
    <w:p>
      <w:pPr/>
      <w:r>
        <w:rPr/>
        <w:t xml:space="preserve">Реферативная работа должна отвечать высоким квалификационным требованиям в отношении научности содержания и оформления. Объем реферата должен быть не менее 10-12 машинописных листов и содержать титульный лист, оглавление, текст, написанный по главам, выводы и список использованной литературы. Текст должен быть напечатан 14 шрифтом через 1,5 интервала на одой стороне стандартного листа А4 с соблюдением размеров полей: верхнее – 20 мм, правое – 10, левое и нижнее – не менее 20мм. Номера страниц указываются на середине верхней части листа без точек. Каждая страница нумеруется. Первой страницей считается титульный лист, второй - оглавление, (нумерация на них не ставится). Номера страниц указываются, начиная с третьего листа. Заголовки даются по центру. Текст реферата должен делиться на абзацы, и каждый абзац должен начинаться с красной строки. Связь списка литературы с текстом осуществляется с помощью ссылок. Например, если автор ссылается на работу, представленную в списке литературы под номером 7, то эта цифра, заключенная в скобки, ставится и в тексте реферата.</w:t>
      </w:r>
    </w:p>
    <w:p>
      <w:pPr/>
      <w:r>
        <w:rPr/>
        <w:t xml:space="preserve">«Зачтено» при защите реферата выставляется, если:</w:t>
      </w:r>
    </w:p>
    <w:p>
      <w:pPr>
        <w:numPr>
          <w:ilvl w:val="0"/>
          <w:numId w:val="1"/>
        </w:numPr>
      </w:pPr>
      <w:r>
        <w:rPr/>
        <w:t xml:space="preserve">полностью раскрыта заявленная тема реферата;</w:t>
      </w:r>
      <w:r>
        <w:rPr>
          <w:color w:val="000000"/>
        </w:rPr>
        <w:t xml:space="preserve"> произведено сравнение альтернативных точек зрения, сформулирована собственная позиция;</w:t>
      </w:r>
    </w:p>
    <w:p>
      <w:pPr>
        <w:numPr>
          <w:ilvl w:val="0"/>
          <w:numId w:val="1"/>
        </w:numPr>
      </w:pPr>
      <w:r>
        <w:rPr/>
        <w:t xml:space="preserve">чётко выстроена структура реферата, логично изложен текст;</w:t>
      </w:r>
    </w:p>
    <w:p>
      <w:pPr>
        <w:numPr>
          <w:ilvl w:val="0"/>
          <w:numId w:val="1"/>
        </w:numPr>
      </w:pPr>
      <w:r>
        <w:rPr/>
        <w:t xml:space="preserve">правильно и полно использованы библиографические источники;</w:t>
      </w:r>
    </w:p>
    <w:p>
      <w:pPr>
        <w:numPr>
          <w:ilvl w:val="0"/>
          <w:numId w:val="1"/>
        </w:numPr>
      </w:pPr>
      <w:r>
        <w:rPr/>
        <w:t xml:space="preserve">аккуратно оформлена работа;</w:t>
      </w:r>
    </w:p>
    <w:p>
      <w:pPr>
        <w:numPr>
          <w:ilvl w:val="0"/>
          <w:numId w:val="1"/>
        </w:numPr>
      </w:pPr>
      <w:r>
        <w:rPr/>
        <w:t xml:space="preserve">при защите – есть понимание изложенного материала.</w:t>
      </w:r>
    </w:p>
    <w:p>
      <w:pPr/>
      <w:r>
        <w:rPr/>
        <w:t xml:space="preserve">«Не зачтено» - при не выполнении данных требований.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70 часов для самостоятельной работы и 2 часа аудиторной (практической) студентов.</w:t>
      </w:r>
    </w:p>
    <w:p>
      <w:pPr/>
      <w:r>
        <w:rPr/>
        <w:t xml:space="preserve">Занятия по физической культуре самостоятельно проводятся 2 раза в неделю (4 часа).</w:t>
      </w:r>
    </w:p>
    <w:p>
      <w:pPr/>
      <w:r>
        <w:rPr/>
        <w:t xml:space="preserve">Освобождением от занятий по физической культуре на период болезни и допуском к занятиям после нее является медицинская справка</w:t>
      </w:r>
    </w:p>
    <w:p>
      <w:pPr/>
      <w:r>
        <w:rPr/>
        <w:t xml:space="preserve">Для эффективного усвоения материала курса студент обязан:</w:t>
      </w:r>
    </w:p>
    <w:p>
      <w:pPr/>
      <w:r>
        <w:rPr/>
        <w:t xml:space="preserve">регулярно прорабатывать (самостоятельно) рекомендованную литературу по каждой теме.</w:t>
      </w:r>
    </w:p>
    <w:p>
      <w:pPr/>
      <w:r>
        <w:rPr/>
        <w:t xml:space="preserve">Обучающиеся первого курса, отнесённые по состоянию здоровья к подготовительной и специальной медицинской группам, обязаны предоставить медицинскую справку. На основании данных о состоянии здоровья студенты распределяются на 3 группы:</w:t>
      </w:r>
    </w:p>
    <w:p>
      <w:pPr/>
      <w:r>
        <w:rPr/>
        <w:t xml:space="preserve">Обучающиеся, освобожденные от занятий по дисциплине «Физическая культура и спорт» на длительный период, самостоятельно прорабатывают теоретический материал, используя рекомендуемую литературу и сервер </w:t>
      </w:r>
      <w:r>
        <w:rPr>
          <w:lang w:val="en-US"/>
        </w:rPr>
        <w:t xml:space="preserve">Moodle</w:t>
      </w:r>
      <w:r>
        <w:rPr/>
        <w:t xml:space="preserve">. Получают зачет после устного собеседования или письменного зачёта.</w:t>
      </w:r>
    </w:p>
    <w:p>
      <w:pPr/>
      <w:r>
        <w:rPr/>
        <w:t xml:space="preserve">Обучающиеся, отнесенные к специальной медицинской группе, занимаются по специально разработанной программе.</w:t>
      </w:r>
    </w:p>
    <w:p>
      <w:pPr/>
      <w:r>
        <w:rPr/>
        <w:t xml:space="preserve">На основании Письма Минобразования Российской Федерации «Об оценивании и</w:t>
      </w:r>
      <w:br/>
      <w:r>
        <w:rPr/>
        <w:t xml:space="preserve">аттестации учащихся, отнесенных по состоянию здоровья к специальной медицинской</w:t>
      </w:r>
    </w:p>
    <w:p>
      <w:pPr/>
      <w:r>
        <w:rPr/>
        <w:t xml:space="preserve">группе для занятий физической культурой» № 13-51-263/123 от 31.10.2003 г. ограничения здоровья не означают, что обучающийся пропускает учебные занятия по</w:t>
      </w:r>
      <w:br/>
      <w:r>
        <w:rPr/>
        <w:t xml:space="preserve">физкультуре и не проходит аттестацию по предмету.</w:t>
      </w:r>
      <w:br/>
      <w:r>
        <w:rPr/>
        <w:t xml:space="preserve">Освобождение может быть только временным. Учащийся освобождается на период,</w:t>
      </w:r>
      <w:br/>
      <w:r>
        <w:rPr/>
        <w:t xml:space="preserve">который указан в справке. Освобожденный учащийся обязан посещать учебные занятия по физической культуре, при этом выполнение физических упражнений не обязательно. Отсутствие на занятии возможно по согласованию с преподавателем. При этом обучающийся выполняет теоретические, методико-практические работы,</w:t>
      </w:r>
      <w:br/>
      <w:r>
        <w:rPr/>
        <w:t xml:space="preserve">исследовательские работы по заданию преподавателя.</w:t>
      </w:r>
    </w:p>
    <w:p>
      <w:pPr/>
      <w:r>
        <w:rPr/>
        <w:t xml:space="preserve">Самостоятельная работа направлена на самостоятельное изучение отдельных тем / вопросов учебной дисциплины. Самостоятельная работа является обязательной для каждого обучающегося, ее объем определяется учебным планом.</w:t>
      </w:r>
    </w:p>
    <w:p>
      <w:pPr/>
      <w:r>
        <w:rPr/>
        <w:t xml:space="preserve">Самостоятельная работа проводится по рекомендуемым учебникам в разделе 8 «Учебно-методическое и информационное обеспечение дисциплины», учебным пособиям, научной, справочной и популярной литературе, материалам периодических изданий и Интернета.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>
          <w:color w:val="000000"/>
        </w:rPr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студентов </w:t>
      </w:r>
      <w:r>
        <w:rPr>
          <w:color w:val="000000"/>
        </w:rPr>
        <w:t xml:space="preserve">требования кафедры, требования техники безопасности, ответить на вопросы.</w:t>
      </w:r>
    </w:p>
    <w:p>
      <w:pPr/>
      <w:r>
        <w:rPr>
          <w:color w:val="000000"/>
        </w:rPr>
        <w:t xml:space="preserve">При подготовке к занятиям необходимо продумать план проведения, содержание вступи</w:t>
      </w:r>
      <w:r>
        <w:rPr>
          <w:color w:val="000000"/>
        </w:rPr>
        <w:t xml:space="preserve">тельной, основной и заключительной части, ознакомиться с новинками учебной и методической ли</w:t>
      </w:r>
      <w:r>
        <w:rPr>
          <w:color w:val="000000"/>
        </w:rPr>
        <w:t xml:space="preserve">тературы, публикациями периодической печати по теме занятия. Определить средства матери</w:t>
      </w:r>
      <w:r>
        <w:rPr>
          <w:color w:val="000000"/>
        </w:rPr>
        <w:t xml:space="preserve">ально-технического обеспечения занятия и порядок их использования.</w:t>
      </w:r>
    </w:p>
    <w:p>
      <w:pPr/>
      <w:r>
        <w:rPr>
          <w:color w:val="000000"/>
        </w:rPr>
        <w:t xml:space="preserve">В ходе занятия преподаватель должен назвать тему, </w:t>
      </w:r>
      <w:r>
        <w:rPr>
          <w:color w:val="000000"/>
        </w:rPr>
        <w:t xml:space="preserve">раскрыть её практическое значение и </w:t>
      </w:r>
      <w:r>
        <w:rPr>
          <w:color w:val="000000"/>
        </w:rPr>
        <w:t xml:space="preserve"> руководить работой студентов по усвоению учебного материала. </w:t>
      </w:r>
      <w:r>
        <w:rPr/>
        <w:t xml:space="preserve">После каждого занятия сделать соответствующую запись в </w:t>
      </w:r>
      <w:r>
        <w:rPr/>
        <w:t xml:space="preserve">журналах учёта посещаемости занятий студентами. </w:t>
      </w:r>
      <w:r>
        <w:rPr/>
        <w:t xml:space="preserve">Проводить групповые и индивидуальные консультации студентов в ходе их подго</w:t>
      </w:r>
      <w:r>
        <w:rPr/>
        <w:t xml:space="preserve">товки к зачету по учебной дисциплине.</w:t>
      </w:r>
    </w:p>
    <w:p>
      <w:pPr/>
      <w:r>
        <w:rPr/>
        <w:t xml:space="preserve">При оценивании работы студентов используется </w:t>
      </w:r>
      <w:r>
        <w:rPr>
          <w:b w:val="1"/>
          <w:bCs w:val="1"/>
          <w:i w:val="1"/>
          <w:iCs w:val="1"/>
        </w:rPr>
        <w:t xml:space="preserve">балльная система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2"/>
        </w:numPr>
      </w:pPr>
      <w:r>
        <w:rPr/>
        <w:t xml:space="preserve">Димова, А. Л. Базовые виды физкультурно-спортивной деятельности с методикой преподавания : учебник для вузов / А. Л. Димова. — Москва : Изд-во Юрайт, 2025. — 428 с. — (Высшее образование). — Режим доступа: по подписке. — URL: https://urait.ru/bcode/567585 (дата обращения: 17.04.2025).— ISBN 978-5-534-14068-2. — Текст : электронный.</w:t>
      </w:r>
    </w:p>
    <w:p>
      <w:pPr>
        <w:numPr>
          <w:ilvl w:val="0"/>
          <w:numId w:val="2"/>
        </w:numPr>
      </w:pPr>
      <w:r>
        <w:rPr/>
        <w:t xml:space="preserve">Муллер, А. Б. Физическая культура : учебник и практикум для вузов / А. Б. Муллер, Н. С. Дядичкина, Ю. А. Богащенко. — Москва : Изд-во Юрайт, 2025. — 424 с. — (Высшее образование). — Режим доступа: по подписке. — URL: https://urait.ru/bcode/559943 (дата обращения: 15.04.2025). — ISBN 978-5-534-02483-8. — Текст : электронный.</w:t>
      </w:r>
    </w:p>
    <w:p>
      <w:pPr>
        <w:numPr>
          <w:ilvl w:val="0"/>
          <w:numId w:val="2"/>
        </w:numPr>
      </w:pPr>
      <w:r>
        <w:rPr/>
        <w:t xml:space="preserve">Письменский, И. А. Физическая культура : учебник для вузов / И. А. Письменский, Ю. Н. Аллянов. — Москва : Изд-во Юрайт, 2025. — 450 с. — (Высшее образование). — Режим доступа: по подписке. — URL: https://urait.ru/bcode/560410 (дата обращения: 17.04.2025). — ISBN 978-5-534-14056-9. — Текст : электронный.</w:t>
      </w:r>
    </w:p>
    <w:p>
      <w:pPr>
        <w:numPr>
          <w:ilvl w:val="0"/>
          <w:numId w:val="2"/>
        </w:numPr>
      </w:pPr>
      <w:r>
        <w:rPr/>
        <w:t xml:space="preserve">Самостоятельная работа студента по физической культуре : учебник для вузов / под ред. В. Л. Кондакова. — 2-е изд., испр. и доп. — Москва : Изд-во Юрайт, 2025. — 148 с. — (Высшее образование). — Режим доступа: по подписке. — URL: https://urait.ru/bcode/566502 (дата обращения: 17.04.2025). — ISBN 978-5-534-19295-7. —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br/>
      <w:br/>
    </w:p>
    <w:p>
      <w:pPr>
        <w:numPr>
          <w:ilvl w:val="0"/>
          <w:numId w:val="3"/>
        </w:numPr>
      </w:pPr>
      <w:r>
        <w:rPr/>
        <w:t xml:space="preserve">Адаптивная и лечебная физическая культура. Плавание : учебник для вузов / Н. Ж. Булгакова, С. Н. Морозов, О. И. Попов, Т. С. Морозова ; под ред. Н. Ж. Булгаковой. — 3-е изд., перераб. и доп. — Москва : Изд-во Юрайт, 2025. — 401 с. — (Высшее образование). — Режим доступа: по подписке. — URL: https://urait.ru/bcode/564746 (дата обращения: 17.04.2025). — ISBN 978-5-534-08390-3. — Текст : электронный.</w:t>
      </w:r>
    </w:p>
    <w:p>
      <w:pPr>
        <w:numPr>
          <w:ilvl w:val="0"/>
          <w:numId w:val="3"/>
        </w:numPr>
      </w:pPr>
      <w:r>
        <w:rPr/>
        <w:t xml:space="preserve">Баскетбол, волейбол : учебник для вузов / под ред. Е. В. Конеевой. — 2-е изд., перераб. и доп. — Москва : Изд-во Юрайт, 2025. — 176 с. — (Высшее образование). — Режим доступа: по подписке. — URL: https://urait.ru/bcode/569039 (дата обращения: 17.04.2025). — ISBN 978-5-534-19017-5. — Текст : электронный.</w:t>
      </w:r>
    </w:p>
    <w:p>
      <w:pPr>
        <w:numPr>
          <w:ilvl w:val="0"/>
          <w:numId w:val="3"/>
        </w:numPr>
      </w:pPr>
      <w:r>
        <w:rPr/>
        <w:t xml:space="preserve">Зайцев, А. А. Легкая атлетика : учебник для вузов / А. А. Зайцев, С. Я. Луценко ; под редакцией А. А. Зайцева. — 3-е изд., перераб. и доп. — Москва : Изд-во Юрайт, 2025. — 70 с. — (Высшее образование). — Режим доступа: по подписке. — URL: https://urait.ru/bcode/569107 (дата обращения: 17.04.2025). — ISBN 978-5-534-19947-5. — Текст : электронный.</w:t>
      </w:r>
    </w:p>
    <w:p>
      <w:pPr>
        <w:numPr>
          <w:ilvl w:val="0"/>
          <w:numId w:val="3"/>
        </w:numPr>
      </w:pPr>
      <w:r>
        <w:rPr/>
        <w:t xml:space="preserve">Организационно-методические условия эффективности самостоятельной работы студентов по развитию силы : учебно-методическое электронное пособие / сост. А. В. Киселев. – Петрозаводск : Изд-во ПетрГУ, 2021. – [30] c. — ISBN 978-5-8021-3813-7.</w:t>
      </w:r>
    </w:p>
    <w:p>
      <w:pPr>
        <w:numPr>
          <w:ilvl w:val="0"/>
          <w:numId w:val="3"/>
        </w:numPr>
      </w:pPr>
      <w:r>
        <w:rPr/>
        <w:t xml:space="preserve">Пономарев, А. К. Организационно-методическое обеспечение и реализация всероссийского физкультурно-спортивного комплекса «Готов к труду и обороне» в системе физического воспитания : учебник для вузов / А. К. Пономарев, С. Н. Амелин. — Москва : Изд-во Юрайт, 2025. — 164 с. — (Высшее образование). — Режим доступа: по подписке. — URL: https://urait.ru/bcode/568343 (дата обращения: 17.04.2025). — ISBN 978-5-534-15477-1. —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>
          <w:lang w:val="en-US"/>
          <w:color w:val="000000"/>
        </w:rPr>
        <w:t xml:space="preserve">1. </w:t>
      </w:r>
      <w:r>
        <w:rPr>
          <w:color w:val="000000"/>
        </w:rPr>
        <w:t xml:space="preserve">Пакет</w:t>
      </w:r>
      <w:r>
        <w:rPr>
          <w:lang w:val="en-US"/>
          <w:color w:val="000000"/>
        </w:rPr>
        <w:t xml:space="preserve"> Microsoft Office 2007-2010 (Word, Excel, Power Point)</w:t>
      </w:r>
    </w:p>
    <w:p>
      <w:pPr/>
      <w:r>
        <w:rPr/>
        <w:t xml:space="preserve">2. Пакет для просмотра и печати документов Adobe Acrobat Reader, Foxit Reader и др.</w:t>
      </w:r>
    </w:p>
    <w:p>
      <w:pPr/>
      <w:r>
        <w:rPr/>
        <w:t xml:space="preserve">3. 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>
          <w:i w:val="1"/>
          <w:iCs w:val="1"/>
        </w:rPr>
        <w:t xml:space="preserve">б) интернет-ресурсы</w:t>
      </w:r>
    </w:p>
    <w:p>
      <w:pPr/>
      <w:hyperlink r:id="rId7" w:history="1">
        <w:r>
          <w:rPr>
            <w:u w:val="single"/>
          </w:rPr>
          <w:t xml:space="preserve">Центральная отраслевая библиотека по физической культуре и спорту</w:t>
        </w:r>
      </w:hyperlink>
      <w:r>
        <w:rPr>
          <w:color w:val="000000"/>
        </w:rPr>
        <w:t xml:space="preserve">.</w:t>
      </w:r>
      <w:r>
        <w:rPr>
          <w:color w:val="000000"/>
        </w:rPr>
        <w:t xml:space="preserve">Режим доступа: </w:t>
      </w:r>
      <w:hyperlink r:id="rId8" w:history="1">
        <w:r>
          <w:rPr>
            <w:u w:val="single"/>
          </w:rPr>
          <w:t xml:space="preserve">http://lib.sportedu.ru/</w:t>
        </w:r>
      </w:hyperlink>
    </w:p>
    <w:p>
      <w:pPr/>
      <w:r>
        <w:rPr/>
        <w:t xml:space="preserve">Сайт Государственного комитета Республики Карелия по физической культуре и спорту Режим доступа: </w:t>
      </w:r>
      <w:hyperlink r:id="rId9" w:history="1">
        <w:r>
          <w:rPr>
            <w:u w:val="single"/>
          </w:rPr>
          <w:t xml:space="preserve">http://goskomsportrk.ru/</w:t>
        </w:r>
      </w:hyperlink>
    </w:p>
    <w:p>
      <w:pPr/>
      <w:r>
        <w:rPr/>
        <w:t xml:space="preserve">Спортивный портал Карелии Режим доступа: </w:t>
      </w:r>
      <w:hyperlink r:id="rId10" w:history="1">
        <w:r>
          <w:rPr>
            <w:u w:val="single"/>
          </w:rPr>
          <w:t xml:space="preserve">http://sportptz.ru/4743/</w:t>
        </w:r>
      </w:hyperlink>
    </w:p>
    <w:p>
      <w:pPr/>
      <w:r>
        <w:rPr/>
        <w:t xml:space="preserve">Теоретический курс дисциплины «Физическая культура и спорт» Режим доступа: </w:t>
      </w:r>
      <w:hyperlink r:id="rId11" w:history="1">
        <w:r>
          <w:rPr>
            <w:u w:val="single"/>
          </w:rPr>
          <w:t xml:space="preserve">https://moodle2.petrsu.ru/course/index.php?categoryid=49</w:t>
        </w:r>
      </w:hyperlink>
    </w:p>
    <w:p>
      <w:pPr/>
      <w:r>
        <w:rPr/>
        <w:t xml:space="preserve">Электронный каталог Научной библиотеки ПетрГУ </w:t>
      </w:r>
      <w:hyperlink r:id="rId12" w:history="1">
        <w:r>
          <w:rPr>
            <w:u w:val="single"/>
          </w:rPr>
          <w:t xml:space="preserve">http://foliant.ru/catalog/psulibr</w:t>
        </w:r>
      </w:hyperlink>
    </w:p>
    <w:p>
      <w:pPr/>
      <w:r>
        <w:rPr/>
        <w:t xml:space="preserve">Электронный каталог библиотеки Республики Карелия http://elibrary.karelia.ru/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3" w:history="1">
        <w:r>
          <w:rPr>
            <w:u w:val="single"/>
          </w:rPr>
          <w:t xml:space="preserve">http://biblioclub.ru</w:t>
        </w:r>
      </w:hyperlink>
    </w:p>
    <w:p>
      <w:pPr>
        <w:jc w:val="start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Составными элементами ЭИОС университета являются: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официальный сайт университета (</w:t>
      </w:r>
      <w:hyperlink r:id="rId14" w:history="1">
        <w:r>
          <w:rPr/>
          <w:t xml:space="preserve">https://petrsu.ru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информационно-Аналитическая Интегрированная Система управления вузом (ИАИС) (</w:t>
      </w:r>
      <w:hyperlink r:id="rId15" w:history="1">
        <w:r>
          <w:rPr/>
          <w:t xml:space="preserve">https://iias.petrsu.ru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образовательный портал ПетрГУ ()</w:t>
      </w:r>
      <w:hyperlink r:id="rId16" w:history="1">
        <w:r>
          <w:rPr/>
          <w:t xml:space="preserve">https://edu.petrsu.ru</w:t>
        </w:r>
      </w:hyperlink>
      <w:r>
        <w:rPr>
          <w:rFonts w:ascii="Times New Roman" w:hAnsi="Times New Roman" w:eastAsia="Times New Roman" w:cs="Times New Roman"/>
        </w:rPr>
        <w:t xml:space="preserve"> 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система электронной поддержки учебных курсов на базе программного обеспечения Moodle (</w:t>
      </w:r>
      <w:hyperlink r:id="rId17" w:history="1">
        <w:r>
          <w:rPr>
            <w:u w:val="single"/>
          </w:rPr>
          <w:t xml:space="preserve">https://moodle2.petrsu.ru</w:t>
        </w:r>
      </w:hyperlink>
      <w:r>
        <w:rPr>
          <w:rFonts w:ascii="Times New Roman" w:hAnsi="Times New Roman" w:eastAsia="Times New Roman" w:cs="Times New Roman"/>
        </w:rPr>
        <w:t xml:space="preserve"> ­ электронные портфолио обучающихся ПетрГУ (</w:t>
      </w:r>
      <w:hyperlink r:id="rId18" w:history="1">
        <w:r>
          <w:rPr/>
          <w:t xml:space="preserve">https://portfolio.petrsu.ru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научная библиотека ПетрГУ (</w:t>
      </w:r>
      <w:hyperlink r:id="rId19" w:history="1">
        <w:r>
          <w:rPr/>
          <w:t xml:space="preserve">https://library.petrsu.ru</w:t>
        </w:r>
      </w:hyperlink>
      <w:r>
        <w:rPr>
          <w:rFonts w:ascii="Times New Roman" w:hAnsi="Times New Roman" w:eastAsia="Times New Roman" w:cs="Times New Roman"/>
        </w:rPr>
        <w:t xml:space="preserve"> ) и электронный каталог «Фолиант» (</w:t>
      </w:r>
      <w:hyperlink r:id="rId20" w:history="1">
        <w:r>
          <w:rPr/>
          <w:t xml:space="preserve">https://foliant.ru/catalog/psulibr</w:t>
        </w:r>
      </w:hyperlink>
      <w:r>
        <w:rPr>
          <w:rFonts w:ascii="Times New Roman" w:hAnsi="Times New Roman" w:eastAsia="Times New Roman" w:cs="Times New Roman"/>
        </w:rPr>
        <w:t xml:space="preserve"> ) 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электронная библиотека Республики Карелия (</w:t>
      </w:r>
      <w:hyperlink r:id="rId21" w:history="1">
        <w:r>
          <w:rPr/>
          <w:t xml:space="preserve">https://elibrary.karelia.ru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электронные научные журналы ПетрГУ (</w:t>
      </w:r>
      <w:hyperlink r:id="rId22" w:history="1">
        <w:r>
          <w:rPr/>
          <w:t xml:space="preserve">https://petrsu.ru/page/science/journals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корпоративная сеть ПетрГУ, включая беспроводной сегмент, и корпоративная почта;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­официальные сообщества университета в социальных сетях («Вконтакте» (</w:t>
      </w:r>
      <w:hyperlink r:id="rId23" w:history="1">
        <w:r>
          <w:rPr>
            <w:u w:val="single"/>
          </w:rPr>
          <w:t xml:space="preserve">https://vk.com/petrsu_ru</w:t>
        </w:r>
      </w:hyperlink>
      <w:r>
        <w:rPr>
          <w:rFonts w:ascii="Times New Roman" w:hAnsi="Times New Roman" w:eastAsia="Times New Roman" w:cs="Times New Roman"/>
        </w:rPr>
        <w:t xml:space="preserve"> ), ­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>
          <w:rFonts w:ascii="Times New Roman" w:hAnsi="Times New Roman" w:eastAsia="Times New Roman" w:cs="Times New Roman"/>
        </w:rPr>
        <w:t xml:space="preserve"> ), Издательств «Лань» (</w:t>
      </w:r>
      <w:hyperlink r:id="rId25" w:history="1">
        <w:r>
          <w:rPr/>
          <w:t xml:space="preserve">https://e.lanbook.com</w:t>
        </w:r>
      </w:hyperlink>
      <w:r>
        <w:rPr>
          <w:rFonts w:ascii="Times New Roman" w:hAnsi="Times New Roman" w:eastAsia="Times New Roman" w:cs="Times New Roman"/>
        </w:rPr>
        <w:t xml:space="preserve"> ), «Консультант студента. 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>
          <w:rFonts w:ascii="Times New Roman" w:hAnsi="Times New Roman" w:eastAsia="Times New Roman" w:cs="Times New Roman"/>
        </w:rPr>
        <w:t xml:space="preserve"> ),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>
          <w:rFonts w:ascii="Times New Roman" w:hAnsi="Times New Roman" w:eastAsia="Times New Roman" w:cs="Times New Roman"/>
        </w:rPr>
        <w:t xml:space="preserve"> )); 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-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>
          <w:rFonts w:ascii="Times New Roman" w:hAnsi="Times New Roman" w:eastAsia="Times New Roman" w:cs="Times New Roman"/>
        </w:rPr>
        <w:t xml:space="preserve"> ), ­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>
          <w:color w:val="000000"/>
        </w:rPr>
        <w:t xml:space="preserve">- аудитории для проведения лекционных и практических занятий, оснащенные рабочими местами для обучающихся и преподавателя доской, мультимедийным оборудованием;</w:t>
      </w:r>
    </w:p>
    <w:p>
      <w:pPr/>
      <w:r>
        <w:rPr>
          <w:color w:val="000000"/>
        </w:rPr>
        <w:t xml:space="preserve">- 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/>
      <w:r>
        <w:rPr>
          <w:color w:val="000000"/>
        </w:rPr>
        <w:t xml:space="preserve"> Спортивные сооружения ПетрГУ:</w:t>
      </w:r>
    </w:p>
    <w:p>
      <w:pPr/>
      <w:r>
        <w:rPr/>
        <w:t xml:space="preserve">Универсальные спортивные залы: на пр. Ленина, 33; на ул. Красноармейская, 31; на ул. Пушкинская, 17; на ул. Ломоносова, 65.</w:t>
      </w:r>
    </w:p>
    <w:p>
      <w:pPr/>
      <w:r>
        <w:rPr/>
        <w:t xml:space="preserve">Спортивные комплексы: студенческого городка на Университетской 10 в, 10 б, 10 в.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04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19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D7D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56FD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/modules.php?op=modload&amp;name=Web_Links&amp;file=index&amp;l_op=visit&amp;lid=729" TargetMode="External"/><Relationship Id="rId8" Type="http://schemas.openxmlformats.org/officeDocument/2006/relationships/hyperlink" Target="http://lib.sportedu.ru/" TargetMode="External"/><Relationship Id="rId9" Type="http://schemas.openxmlformats.org/officeDocument/2006/relationships/hyperlink" Target="http://goskomsportrk.ru/" TargetMode="External"/><Relationship Id="rId10" Type="http://schemas.openxmlformats.org/officeDocument/2006/relationships/hyperlink" Target="http://sportptz.ru/4743/" TargetMode="External"/><Relationship Id="rId11" Type="http://schemas.openxmlformats.org/officeDocument/2006/relationships/hyperlink" Target="https://moodle2.petrsu.ru/course/index.php?categoryid=49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/" TargetMode="External"/><Relationship Id="rId15" Type="http://schemas.openxmlformats.org/officeDocument/2006/relationships/hyperlink" Target="https://iias.petrsu.ru/" TargetMode="External"/><Relationship Id="rId16" Type="http://schemas.openxmlformats.org/officeDocument/2006/relationships/hyperlink" Target="https://edu.petrsu.ru/" TargetMode="External"/><Relationship Id="rId17" Type="http://schemas.openxmlformats.org/officeDocument/2006/relationships/hyperlink" Target="https://moodle2.petrsu.ru/" TargetMode="External"/><Relationship Id="rId18" Type="http://schemas.openxmlformats.org/officeDocument/2006/relationships/hyperlink" Target="https://portfolio.petrsu.ru/" TargetMode="External"/><Relationship Id="rId19" Type="http://schemas.openxmlformats.org/officeDocument/2006/relationships/hyperlink" Target="https://library.petrsu.ru/" TargetMode="External"/><Relationship Id="rId20" Type="http://schemas.openxmlformats.org/officeDocument/2006/relationships/hyperlink" Target="https://foliant.ru/catalog/psulibr" TargetMode="External"/><Relationship Id="rId21" Type="http://schemas.openxmlformats.org/officeDocument/2006/relationships/hyperlink" Target="https://elibrary.karelia.ru/" TargetMode="External"/><Relationship Id="rId22" Type="http://schemas.openxmlformats.org/officeDocument/2006/relationships/hyperlink" Target="/page/science/journals" TargetMode="External"/><Relationship Id="rId23" Type="http://schemas.openxmlformats.org/officeDocument/2006/relationships/hyperlink" Target="https://vk.com/petrsu_ru" TargetMode="External"/><Relationship Id="rId24" Type="http://schemas.openxmlformats.org/officeDocument/2006/relationships/hyperlink" Target="https://www.biblioclub.ru/" TargetMode="External"/><Relationship Id="rId25" Type="http://schemas.openxmlformats.org/officeDocument/2006/relationships/hyperlink" Target="https://e.lanbook.com/" TargetMode="External"/><Relationship Id="rId26" Type="http://schemas.openxmlformats.org/officeDocument/2006/relationships/hyperlink" Target="https://www.studentlibrary.ru/" TargetMode="External"/><Relationship Id="rId27" Type="http://schemas.openxmlformats.org/officeDocument/2006/relationships/hyperlink" Target="https://www.rosmedlib.ru/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2026-04-21T06:02:22+03:00</dcterms:created>
  <dcterms:modified xsi:type="dcterms:W3CDTF">2026-04-21T06:02:22+03:00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