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КРИСТАЛЛОГРАФИЯ, КРИСТАЛЛОХИМИЯ И КЛАССИФИКАЦИЯ НАНОРАЗМЕРНЫХ СТРУКТУР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директор, Дизайн-центр разработки и прототипирования микроэлектронных систем ПетрГУ; заместитель начальника, отдел научных и образовательных программ; и.о. заведующего кафедрой, кафедра физики твердого тела, кандидат физико-математических наук; Кадетова Александра Владимировна, старший преподаватель, кафедра физики твердого тела, кандидат физико-математических наук; 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использованию знаний свойств и характеристик структуры существующих наноматериалов и наноструктур для решения задач, направленных на модификацию их параметров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Имеет углубленные знания о структуре, физико-химических свойствах, конструкции и назначении наноматериалов и наноструктур;</w:t>
            </w:r>
          </w:p>
          <w:p/>
          <w:p>
            <w:pPr/>
            <w:r>
              <w:rPr/>
              <w:t xml:space="preserve">ПК-1.2. Обладает знанием технического английского в области наноматериалов и нанотехнологий;</w:t>
            </w:r>
          </w:p>
          <w:p/>
          <w:p>
            <w:pPr/>
            <w:r>
              <w:rPr/>
              <w:t xml:space="preserve">ПК-1.3.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ПК-1.4. Умеет использовать информационно-коммуникационные технологии с целью поиска необходимой информации, оформления и представления полученных данных;</w:t>
            </w:r>
          </w:p>
          <w:p/>
          <w:p>
            <w:pPr/>
            <w:r>
              <w:rPr/>
              <w:t xml:space="preserve">ПК-1.5. Владеет навыками решения задач обработки данных эксперимента с помощью современных средств автоматизации, оценки и анализа погрешностей эксперимента;</w:t>
            </w:r>
          </w:p>
          <w:p/>
          <w:p>
            <w:pPr/>
            <w:r>
              <w:rPr/>
              <w:t xml:space="preserve">ПК.1.6. Владеет навыками анализа научно-технической информации, отечественного и  зарубежного опыта состояния  проблем в области требований к свойствам, структурному состоянию и надежности наноматериалов и наноструктур, применяемых в наноэлектронике, и представления полученных данных в виде обзора;</w:t>
            </w:r>
          </w:p>
          <w:p/>
          <w:p>
            <w:pPr/>
            <w:r>
              <w:rPr/>
              <w:t xml:space="preserve">ПК-1.7. Владеет навыками получения планирования и выполнения экспериментов по заданной методике, анализа и систематизации результаты исследований, представления материалов в виде научных отчетов, публикаций, презентаций.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Кристаллография, кристаллохимия и классификация наноразмерных структур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45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