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МЕДИЦИНСКИХ ЗНАНИЙ И ЗДОРОВОГО ОБРАЗА ЖИЗНИ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(Физика и Информатика)»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(Физика и Информатика)»).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Алексеева Анастасия Александровна, старший преподаватель, кафедра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Основы медицинских знаний и здорового образа жизни (Н), Выполнение и защита выпускной квалификационной работы (И), Безопасность жизнедеятельности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биологическая и социальная задача.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Решение комплектов задач (рабочая тетрадь);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неотложных состояниях, в том числе при при угрозе возникновения чрезвычайных ситуаций и военных конфликтов.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Решение комплектов задач (рабочая тетрадь);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«здоровье», критерии здоровья нации; факторы, влияющие на здоровье, определение здорового образа жизни и его составляющих. Климатические условия Республики Карелии, негативно влияющие на здоровье населения.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Рациональное питание: Основные принципы (сбалансированность, умеренность, разнообразие). Пирамида питания. Режим питания. Питьевой режим. Особенности питания в современных условиях и в климате Карелии. Оптимальная физическая активность: Влияние на системы организма (сердечно-сосудистую, опорно-двигательную, нервную). Рекомендации ВОЗ по уровню физической нагрузки. Виды активности: аэробные, силовые, стретчинг.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Психоэмоциональное здоровье: Понятие стресса и дистресса. Методы управления стрессом и эмоциями (тайм-менеджмент, релаксация, хобби). Важность социальных связей и коммуникации. Гигиена сна: Важность сна для физического и психического восстановления. Правила гигиены сна. Последствия недосыпания.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Табакокурение: Состав табачного дыма, влияние на организм, понятие о пассивном курении. Употребление алкоголя: Мифы и реальность. Влияние на центральную нервную систему, печень, сердечно-сосудистую систему.  Наркотическая и иная зависимость (игровая, цифровая): Стадии формирования зависимости, последствия. Профилактика вредных привычек: Первичная, вторичная, третичная профилактика. Формирование личной стратегии отказа. Роль альтернативных форм поведения (спорт, творчество).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Проблемы здоровья обучающихся различных возрастных групп, в том числе с особыми образовательными потребностями.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Организационно-правовые аспекты оказания первой помощи.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при отсутствии сознания, остановке дыхания и кровообращения.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при наружных кровотечениях и травмах.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при прочих состояниях.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мотивации к здоровому образу жизни.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Сформировать навыки планирования и проектирования индивидуальной программы ведения здорового образа жизни.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обучения в школах нового типа на состояние здоровья детей и подростков, в том числе в условиях инклюзивного образовательного процесса.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оказания первой помощи пострадавшим при извлечении из- под обломков, завалов зданий и техники.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приёмов восстановления проходимости верхних дыхательных путей. Оценка признаков жизни у пострадавшего. Выполнение алгоритма сердечно-легочной реанимации.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приемов придания оптимального положения тела пострадавшему при отсутствии сознания, травмах различных областей тела, значительной кровопотере.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приемов наложения повязок при ожогах различных областей тела. Применение местного охлаждения. Отработка приемов наложения термоизолирующей повязки при отморожениях.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приемов оказания психологической поддержки пострадавшим при различных острых стрессовых реакциях.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Общее понятие о болезни, профилактика болезней для поддержания здоровья в повседневной жизни и профессиональной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Инфекционные заболевания. Социально значимые инфекционные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Соматические заболевания. Социально значимые соматические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Сердечно-сосудистые заболевания.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Болезни органов дыхания;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Сахарный диабет.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желудочно-кишечного тракта.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Уровни профилактики соматических заболеваний.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Нервно-психические расстройства у детей и подростков.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Коронавирусная инфекция (2019-nCoV) как социально значимое инфекционное заболевание.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Инфекции, передающиеся преимущественно половым путем.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эссе: Роль педагогов в формировании, сохранении и укреплении здоровья детей и подростков и профилактике заболеваний.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эссе: Совместная деятельность образовательной организации и семьи в сохранении и укреплении здоровья и формировании основ здорового образа жизни детей, в том числе с ограниченными возможностями здоровья.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эссе: Планирование мероприятий по формированию, сохранению и укреплению здоровья детей в образовательных организациях, в том числе в условиях инклюзивного образовательного процесса и дополнительного образования.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Перечень состояний, при которых оказывается первая помощь, в случае возникновения чрезвычайных ситуаций и военных конфликтов.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Юридическая ответственность за правонарушения при оказании первой помощи в РФ.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занятиям, подготовка к опросу, подготовка к тестовому контролю знаний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курсом.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решение комплектов задач (рабочая тетрадь);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Продукт самостоятельной работы обучающегося,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темы.</w:t>
      </w:r>
    </w:p>
    <w:p>
      <w:pPr/>
      <w:r>
        <w:rPr/>
        <w:t xml:space="preserve">Цель использования:</w:t>
      </w:r>
    </w:p>
    <w:p>
      <w:pPr/>
      <w:r>
        <w:rPr/>
        <w:t xml:space="preserve">Углубить и систематизировать знания студентов по конкретной теме дисциплины «Основы медицинских знаний и здорового образа жизни», выходящей за рамки лекционного материала. Сформировать навыки самостоятельного поиска, анализа, обобщения и структурирования научной и научно-популярной информации.</w:t>
      </w:r>
    </w:p>
    <w:p>
      <w:pPr/>
      <w:r>
        <w:rPr/>
        <w:t xml:space="preserve">Развить умение грамотно и убедительно излагать материал, аргументировать свою позицию, отвечать на вопросы аудитории, работать с современными программными средствами (для создания презентаций).</w:t>
      </w:r>
    </w:p>
    <w:p>
      <w:pPr/>
      <w:r>
        <w:rPr/>
        <w:t xml:space="preserve">Проверить уровень усвоения материала, способность к самостоятельной творческой работе, умение работать с информацией и качество коммуникативных навыков.</w:t>
      </w:r>
    </w:p>
    <w:p>
      <w:pPr/>
      <w:r>
        <w:rPr/>
        <w:t xml:space="preserve">Форма проведения:</w:t>
      </w:r>
    </w:p>
    <w:p>
      <w:pPr/>
      <w:r>
        <w:rPr/>
        <w:t xml:space="preserve">Публичное выступление перед учебной группой с использованием мультимедийной презентации с последующим ответом на вопросы аудитории и преподавателя.</w:t>
      </w:r>
    </w:p>
    <w:p>
      <w:pPr/>
      <w:r>
        <w:rPr/>
        <w:t xml:space="preserve">Требования к содержанию и оформлению:</w:t>
      </w:r>
    </w:p>
    <w:p>
      <w:pPr/>
      <w:r>
        <w:rPr/>
        <w:t xml:space="preserve">Доклад: объем 3-5 страниц печатного текста. Должен содержать титульный лист, план/оглавление, введение, основную часть (разделенную на логические параграфы), заключение с выводами и список литературы (не менее 3-5 авторитетных источников: учебники, научные статьи, официальные сайты Минздрава, ВОЗ).</w:t>
      </w:r>
    </w:p>
    <w:p>
      <w:pPr/>
      <w:r>
        <w:rPr/>
        <w:t xml:space="preserve">Сообщение: более краткая форма (объем 1-2 страницы), может представлять собой тезисы доклада или раскрывать узкий вопрос. Также требует структурированности и наличия списка источников.</w:t>
      </w:r>
    </w:p>
    <w:p>
      <w:pPr/>
      <w:r>
        <w:rPr/>
        <w:t xml:space="preserve">Презентация: 7-12 слайдов. Должна быть визуально оформленной, содержать ключевые тезисы, графики, схемы, таблицы, иллюстрации. Не является дословным повторением текста доклада, а служит иллюстративным и навигационным дополнением к выступлению.</w:t>
      </w:r>
    </w:p>
    <w:p>
      <w:pPr/>
      <w:r>
        <w:rPr/>
        <w:t xml:space="preserve">Время на выступление: 5-7 минут для сообщения, 7-10 минут для доклада.</w:t>
      </w:r>
    </w:p>
    <w:p>
      <w:pPr/>
      <w:r>
        <w:rPr/>
        <w:t xml:space="preserve">   Модуль 1. Основы медицинских знаний:</w:t>
      </w:r>
    </w:p>
    <w:p>
      <w:pPr>
        <w:numPr>
          <w:ilvl w:val="0"/>
          <w:numId w:val="1"/>
        </w:numPr>
      </w:pPr>
      <w:r>
        <w:rPr/>
        <w:t xml:space="preserve">       Роль Всемирной организации здравоохранения (ВОЗ) в формировании глобальной политики здоровья.</w:t>
      </w:r>
    </w:p>
    <w:p>
      <w:pPr>
        <w:numPr>
          <w:ilvl w:val="0"/>
          <w:numId w:val="1"/>
        </w:numPr>
      </w:pPr>
      <w:r>
        <w:rPr/>
        <w:t xml:space="preserve">       Основные виды первой помощи при неотложных состояниях (инсульт, инфаркт, эпилептический припадок).</w:t>
      </w:r>
    </w:p>
    <w:p>
      <w:pPr>
        <w:numPr>
          <w:ilvl w:val="0"/>
          <w:numId w:val="1"/>
        </w:numPr>
      </w:pPr>
      <w:r>
        <w:rPr/>
        <w:t xml:space="preserve">       Современные подходы к профилактике инфекционных и неинфекционных заболеваний.</w:t>
      </w:r>
    </w:p>
    <w:p>
      <w:pPr>
        <w:numPr>
          <w:ilvl w:val="0"/>
          <w:numId w:val="1"/>
        </w:numPr>
      </w:pPr>
      <w:r>
        <w:rPr/>
        <w:t xml:space="preserve">       Биоритмы и их влияние на здоровье и работоспособность человека.</w:t>
      </w:r>
    </w:p>
    <w:p>
      <w:pPr>
        <w:numPr>
          <w:ilvl w:val="0"/>
          <w:numId w:val="1"/>
        </w:numPr>
      </w:pPr>
      <w:r>
        <w:rPr/>
        <w:t xml:space="preserve">       Мифы и правда о донорстве крови и костного мозга.</w:t>
      </w:r>
    </w:p>
    <w:p>
      <w:pPr/>
      <w:r>
        <w:rPr/>
        <w:t xml:space="preserve">   Модуль 2. Здоровый образ жизни и его составляющие:</w:t>
      </w:r>
    </w:p>
    <w:p>
      <w:pPr>
        <w:numPr>
          <w:ilvl w:val="0"/>
          <w:numId w:val="2"/>
        </w:numPr>
      </w:pPr>
      <w:r>
        <w:rPr/>
        <w:t xml:space="preserve">       Сравнительный анализ популярных систем питания (Средиземноморская, KETO, интервальное голодание): польза и риски.</w:t>
      </w:r>
    </w:p>
    <w:p>
      <w:pPr>
        <w:numPr>
          <w:ilvl w:val="0"/>
          <w:numId w:val="2"/>
        </w:numPr>
      </w:pPr>
      <w:r>
        <w:rPr/>
        <w:t xml:space="preserve">       Влияние сна на когнитивные функции и физическое здоровье.</w:t>
      </w:r>
    </w:p>
    <w:p>
      <w:pPr>
        <w:numPr>
          <w:ilvl w:val="0"/>
          <w:numId w:val="2"/>
        </w:numPr>
      </w:pPr>
      <w:r>
        <w:rPr/>
        <w:t xml:space="preserve">       Социально-психологические аспекты формирования зависимостей (от ПАВ, цифровых технологий).</w:t>
      </w:r>
    </w:p>
    <w:p>
      <w:pPr>
        <w:numPr>
          <w:ilvl w:val="0"/>
          <w:numId w:val="2"/>
        </w:numPr>
      </w:pPr>
      <w:r>
        <w:rPr/>
        <w:t xml:space="preserve">       Основы психогигиены и методы управления стрессом в условиях учебной деятельности.</w:t>
      </w:r>
    </w:p>
    <w:p>
      <w:pPr>
        <w:numPr>
          <w:ilvl w:val="0"/>
          <w:numId w:val="2"/>
        </w:numPr>
      </w:pPr>
      <w:r>
        <w:rPr/>
        <w:t xml:space="preserve">       Роль физической активности в профилактике гиподинамии и заболеваний опорно-двигательного аппарата.</w:t>
      </w:r>
    </w:p>
    <w:p>
      <w:pPr>
        <w:numPr>
          <w:ilvl w:val="0"/>
          <w:numId w:val="2"/>
        </w:numPr>
      </w:pPr>
      <w:r>
        <w:rPr/>
        <w:t xml:space="preserve">       Проблема буллинга (травли) в студенческой среде и ее влияние на психическое здоровье.</w:t>
      </w:r>
    </w:p>
    <w:p>
      <w:pPr>
        <w:numPr>
          <w:ilvl w:val="0"/>
          <w:numId w:val="2"/>
        </w:numPr>
      </w:pPr>
      <w:r>
        <w:rPr/>
        <w:t xml:space="preserve">       Формирование здоровьесберегающей среды в университете.</w:t>
      </w:r>
    </w:p>
    <w:p>
      <w:pPr/>
      <w:r>
        <w:rPr/>
        <w:t xml:space="preserve">Критерии оценки:</w:t>
      </w:r>
    </w:p>
    <w:p>
      <w:pPr/>
      <w:r>
        <w:rPr/>
        <w:t xml:space="preserve"> «Отлично»: Тема раскрыта полностью, использованы авторитетные источники, выводы глубокие и самостоятельные. Презентация качественная, выступление яркое и укладывается в регламент.</w:t>
      </w:r>
    </w:p>
    <w:p>
      <w:pPr/>
      <w:r>
        <w:rPr/>
        <w:t xml:space="preserve"> «Хорошо»: Тема раскрыта, но есть незначительные недочеты в структуре или выводах. Презентация и выступление хорошие, но могут быть замечания по оформлению или технике речи.</w:t>
      </w:r>
    </w:p>
    <w:p>
      <w:pPr/>
      <w:r>
        <w:rPr/>
        <w:t xml:space="preserve">«Удовлетворительно»: Тема раскрыта поверхностно, использовано недостаточно источников. Есть существенные замечания к структуре, выводам, оформлению презентации или выступлению.</w:t>
      </w:r>
    </w:p>
    <w:p>
      <w:pPr/>
      <w:r>
        <w:rPr/>
        <w:t xml:space="preserve">«Неудовлетворительно» : Тема не раскрыта, использованы ненаучные источники, работа носит реферативный характер без анализа, нарушены требования к оформлению и регламенту.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Дидактический комплекс, предназначенный для самостоятельной работы обучающегося и позволяющий оценивать уровень усвоения им учебного материала.</w:t>
      </w:r>
    </w:p>
    <w:p>
      <w:pPr/>
      <w:r>
        <w:rPr/>
        <w:t xml:space="preserve">Цель использования:</w:t>
      </w:r>
    </w:p>
    <w:p>
      <w:pPr/>
      <w:r>
        <w:rPr/>
        <w:t xml:space="preserve">Закрепить теоретические знания, полученные на лекциях и в ходе самостоятельной работы, путем их применения для решения практических, ситуационных и расчетных задач. Сформировать умение использовать алгоритмы действий в типовых и нестандартных ситуациях, связанных с охраной здоровья.</w:t>
      </w:r>
    </w:p>
    <w:p>
      <w:pPr/>
      <w:r>
        <w:rPr/>
        <w:t xml:space="preserve">Развить аналитические способности, клиническое и логическое мышление, навык работы с данными, умение интерпретировать результаты и формулировать обоснованные выводы.</w:t>
      </w:r>
    </w:p>
    <w:p>
      <w:pPr/>
      <w:r>
        <w:rPr/>
        <w:t xml:space="preserve">Осуществить текущий контроль уровня усвоения материала, оценить способность студентов самостоятельно применять полученные знания для решения практических проблем.</w:t>
      </w:r>
    </w:p>
    <w:p>
      <w:pPr/>
      <w:r>
        <w:rPr/>
        <w:t xml:space="preserve">Форма проведения:</w:t>
      </w:r>
    </w:p>
    <w:p>
      <w:pPr/>
      <w:r>
        <w:rPr/>
        <w:t xml:space="preserve">В аудитории: Выполнение заданий на семинарских и практических занятиях под контролем преподавателя (может быть как индивидуальным, так и в малых группах).</w:t>
      </w:r>
    </w:p>
    <w:p>
      <w:pPr/>
      <w:r>
        <w:rPr/>
        <w:t xml:space="preserve">Вне аудитории: Самостоятельное выполнение заданий в качестве домашней работы с последующей сдачей тетради на проверку.</w:t>
      </w:r>
    </w:p>
    <w:p>
      <w:pPr/>
      <w:r>
        <w:rPr/>
        <w:t xml:space="preserve">Требования к содержанию и оформлению:</w:t>
      </w:r>
    </w:p>
    <w:p>
      <w:pPr/>
      <w:r>
        <w:rPr/>
        <w:t xml:space="preserve">Рабочая тетрадь представляет собой комплект заданий, сгруппированных по темам или модулям дисциплины. Каждое задание имеет четкую формулировку и условие.</w:t>
      </w:r>
    </w:p>
    <w:p>
      <w:pPr/>
      <w:r>
        <w:rPr/>
        <w:t xml:space="preserve">Решения должны быть представлены в развернутом виде. Студент должен не только дать конечный ответ, но и показать ход своих рассуждений, привести используемые формулы, алгоритмы действий или логические цепочки. Ответы на тестовые задания должны быть обоснованы.</w:t>
      </w:r>
    </w:p>
    <w:p>
      <w:pPr/>
      <w:r>
        <w:rPr/>
        <w:t xml:space="preserve">Типология заданий в рабочей тетради:</w:t>
      </w:r>
    </w:p>
    <w:p>
      <w:pPr>
        <w:numPr>
          <w:ilvl w:val="0"/>
          <w:numId w:val="3"/>
        </w:numPr>
      </w:pPr>
      <w:r>
        <w:rPr/>
        <w:t xml:space="preserve">Расчетные задачи:</w:t>
      </w:r>
    </w:p>
    <w:p>
      <w:pPr/>
      <w:r>
        <w:rPr/>
        <w:t xml:space="preserve">Цель: Научиться применять формулы и количественные методы в области здоровья.</w:t>
      </w:r>
    </w:p>
    <w:p>
      <w:pPr/>
      <w:r>
        <w:rPr/>
        <w:t xml:space="preserve">Примеры:</w:t>
      </w:r>
    </w:p>
    <w:p>
      <w:pPr>
        <w:numPr>
          <w:ilvl w:val="0"/>
          <w:numId w:val="4"/>
        </w:numPr>
      </w:pPr>
      <w:r>
        <w:rPr/>
        <w:t xml:space="preserve">Рассчитайте индекс массы тела (ИМТ) для пациента с заданными параметрами. Проанализируйте результат и дайте рекомендации.</w:t>
      </w:r>
    </w:p>
    <w:p>
      <w:pPr>
        <w:numPr>
          <w:ilvl w:val="0"/>
          <w:numId w:val="4"/>
        </w:numPr>
      </w:pPr>
      <w:r>
        <w:rPr/>
        <w:t xml:space="preserve">Рассчитайте суточную калорийность рациона для студента с учетом его пола, возраста, веса и уровня физической активности.</w:t>
      </w:r>
    </w:p>
    <w:p>
      <w:pPr>
        <w:numPr>
          <w:ilvl w:val="0"/>
          <w:numId w:val="4"/>
        </w:numPr>
      </w:pPr>
      <w:r>
        <w:rPr/>
        <w:t xml:space="preserve">Определите частоту сердечных сокращений (ЧСС) в состоянии покоя и целевую зону ЧСС для кардиотренировки для человека заданного возраста.</w:t>
      </w:r>
    </w:p>
    <w:p>
      <w:pPr>
        <w:numPr>
          <w:ilvl w:val="0"/>
          <w:numId w:val="5"/>
        </w:numPr>
      </w:pPr>
      <w:r>
        <w:rPr/>
        <w:t xml:space="preserve">Ситуационные задачи (кейсы):</w:t>
      </w:r>
    </w:p>
    <w:p>
      <w:pPr/>
      <w:r>
        <w:rPr/>
        <w:t xml:space="preserve">Цель: Сформировать навык анализа обстоятельств и принятия решений в смоделированных реальных условиях.</w:t>
      </w:r>
    </w:p>
    <w:p>
      <w:pPr/>
      <w:r>
        <w:rPr/>
        <w:t xml:space="preserve">Примеры:</w:t>
      </w:r>
    </w:p>
    <w:p>
      <w:pPr>
        <w:numPr>
          <w:ilvl w:val="0"/>
          <w:numId w:val="6"/>
        </w:numPr>
      </w:pPr>
      <w:r>
        <w:rPr/>
        <w:t xml:space="preserve">Опишите алгоритм ваших действий при оказании первой помощи человеку, который потерял сознание на улице (опишите по шагам: оценка безопасности, проверка сознания, дыхания, вызов скорой помощи и т.д.).</w:t>
      </w:r>
    </w:p>
    <w:p>
      <w:pPr>
        <w:numPr>
          <w:ilvl w:val="0"/>
          <w:numId w:val="6"/>
        </w:numPr>
      </w:pPr>
      <w:r>
        <w:rPr/>
        <w:t xml:space="preserve">Проанализируйте распорядок дня студента (дан в таблице: сон, питание, учеба, отдых). Выявите нарушения принципов ЗОЖ и предложите коррективы.</w:t>
      </w:r>
    </w:p>
    <w:p>
      <w:pPr>
        <w:numPr>
          <w:ilvl w:val="0"/>
          <w:numId w:val="6"/>
        </w:numPr>
      </w:pPr>
      <w:r>
        <w:rPr/>
        <w:t xml:space="preserve">Вам необходимо провести беседу с другом, который начал курить. Составьте план беседы и сформулируйте ключевые аргументы о вреде курения.</w:t>
      </w:r>
    </w:p>
    <w:p>
      <w:pPr>
        <w:numPr>
          <w:ilvl w:val="0"/>
          <w:numId w:val="7"/>
        </w:numPr>
      </w:pPr>
      <w:r>
        <w:rPr/>
        <w:t xml:space="preserve">Задания на установление соответствия и заполнение таблиц:</w:t>
      </w:r>
    </w:p>
    <w:p>
      <w:pPr/>
      <w:r>
        <w:rPr/>
        <w:t xml:space="preserve">Цель: Проверить усвоение классификаций, признаков, симптомов.</w:t>
      </w:r>
    </w:p>
    <w:p>
      <w:pPr/>
      <w:r>
        <w:rPr/>
        <w:t xml:space="preserve">Примеры:</w:t>
      </w:r>
    </w:p>
    <w:p>
      <w:pPr>
        <w:numPr>
          <w:ilvl w:val="0"/>
          <w:numId w:val="8"/>
        </w:numPr>
      </w:pPr>
      <w:r>
        <w:rPr/>
        <w:t xml:space="preserve">Установите соответствие между признаком (повышенная температура, кашель, сыпь) и группой заболеваний (ОРВИ, аллергия, инфекционное заболевание).</w:t>
      </w:r>
    </w:p>
    <w:p>
      <w:pPr>
        <w:numPr>
          <w:ilvl w:val="0"/>
          <w:numId w:val="8"/>
        </w:numPr>
      </w:pPr>
      <w:r>
        <w:rPr/>
        <w:t xml:space="preserve">Заполните таблицу "Сравнительная характеристика видов питания": укажите преимущества и риски вегетарианства, традиционного смешанного питания и т.д.</w:t>
      </w:r>
    </w:p>
    <w:p>
      <w:pPr>
        <w:numPr>
          <w:ilvl w:val="0"/>
          <w:numId w:val="9"/>
        </w:numPr>
      </w:pPr>
      <w:r>
        <w:rPr/>
        <w:t xml:space="preserve">Задания с развернутым ответом (проблемные вопросы):</w:t>
      </w:r>
    </w:p>
    <w:p>
      <w:pPr/>
      <w:r>
        <w:rPr/>
        <w:t xml:space="preserve">Цель: Оценить умение логически выстраивать ответ, используя теоретические знания.</w:t>
      </w:r>
    </w:p>
    <w:p>
      <w:pPr/>
      <w:r>
        <w:rPr/>
        <w:t xml:space="preserve">Примеры:</w:t>
      </w:r>
    </w:p>
    <w:p>
      <w:pPr>
        <w:numPr>
          <w:ilvl w:val="0"/>
          <w:numId w:val="10"/>
        </w:numPr>
      </w:pPr>
      <w:r>
        <w:rPr/>
        <w:t xml:space="preserve">Объясните, почему для профилактики остеопороза важно употреблять продукты, богатые кальцием, именно в молодом возрасте?</w:t>
      </w:r>
    </w:p>
    <w:p>
      <w:pPr>
        <w:numPr>
          <w:ilvl w:val="0"/>
          <w:numId w:val="10"/>
        </w:numPr>
      </w:pPr>
      <w:r>
        <w:rPr/>
        <w:t xml:space="preserve">Докажите, что хронический стресс является фактором риска развития сердечно-сосудистых заболеваний.</w:t>
      </w:r>
    </w:p>
    <w:p>
      <w:pPr>
        <w:numPr>
          <w:ilvl w:val="0"/>
          <w:numId w:val="11"/>
        </w:numPr>
      </w:pPr>
      <w:r>
        <w:rPr/>
        <w:t xml:space="preserve">Творческие и проектные задания:</w:t>
      </w:r>
    </w:p>
    <w:p>
      <w:pPr/>
      <w:r>
        <w:rPr/>
        <w:t xml:space="preserve">Цель: Развить навыки планирования и проектирования.</w:t>
      </w:r>
    </w:p>
    <w:p>
      <w:pPr/>
      <w:r>
        <w:rPr/>
        <w:t xml:space="preserve">Примеры:</w:t>
      </w:r>
    </w:p>
    <w:p>
      <w:pPr>
        <w:numPr>
          <w:ilvl w:val="0"/>
          <w:numId w:val="12"/>
        </w:numPr>
      </w:pPr>
      <w:r>
        <w:rPr/>
        <w:t xml:space="preserve">Составьте индивидуальный недельный план меню, соответствующего принципам здорового питания, для студента с заданным бюджетом.</w:t>
      </w:r>
    </w:p>
    <w:p>
      <w:pPr>
        <w:numPr>
          <w:ilvl w:val="0"/>
          <w:numId w:val="12"/>
        </w:numPr>
      </w:pPr>
      <w:r>
        <w:rPr/>
        <w:t xml:space="preserve">Разработайте комплекс утренней гимнастики (зарядки) продолжительностью 10-15 минут для студенческой группы.</w:t>
      </w:r>
    </w:p>
    <w:p>
      <w:pPr/>
      <w:r>
        <w:rPr/>
        <w:t xml:space="preserve">Критерии оценки выполнения заданий в рабочей тетради:</w:t>
      </w:r>
    </w:p>
    <w:p>
      <w:pPr/>
      <w:r>
        <w:rPr/>
        <w:t xml:space="preserve">   «Отлично». Все задания выполнены верно, решения полные, развернутые и логически обоснованные. Оформление безупречно.</w:t>
      </w:r>
    </w:p>
    <w:p>
      <w:pPr/>
      <w:r>
        <w:rPr/>
        <w:t xml:space="preserve">   «Хорошо». Задания в основном выполнены верно, но допущены незначительные ошибки в расчетах или неточности в формулировках. Ход решения показан.</w:t>
      </w:r>
    </w:p>
    <w:p>
      <w:pPr/>
      <w:r>
        <w:rPr/>
        <w:t xml:space="preserve">   «Удовлетворительно». Выполнено не менее 50% заданий, однако в решениях есть существенные ошибки, неполнота раскрытия или нарушена логика. Оформление удовлетворительное.</w:t>
      </w:r>
    </w:p>
    <w:p>
      <w:pPr/>
      <w:r>
        <w:rPr/>
        <w:t xml:space="preserve">   «Неудовлетворительно». Задания в основном не выполнены, решения неверны или отсутствуют, оформление не соответствует требованиям.</w:t>
      </w:r>
    </w:p>
    <w:p/>
    <w:p>
      <w:pPr/>
      <w:r>
        <w:rPr/>
        <w:t xml:space="preserve">Тест</w:t>
      </w:r>
    </w:p>
    <w:p>
      <w:pPr/>
      <w:r>
        <w:rPr/>
        <w:t xml:space="preserve">Цель использования:</w:t>
      </w:r>
    </w:p>
    <w:p>
      <w:pPr/>
      <w:r>
        <w:rPr/>
        <w:t xml:space="preserve">Систематизировать и закрепить ключевые понятия, термины, классификации, алгоритмы действий и причинно-следственные связи в рамках дисциплины.</w:t>
      </w:r>
    </w:p>
    <w:p>
      <w:pPr/>
      <w:r>
        <w:rPr/>
        <w:t xml:space="preserve">Развить навык быстрой мобилизации знаний, оперативного принятия решений в условиях ограниченного времени, а также самоконтроля.</w:t>
      </w:r>
    </w:p>
    <w:p>
      <w:pPr/>
      <w:r>
        <w:rPr/>
        <w:t xml:space="preserve">Осуществить объективную, стандартизированную и быструю проверку уровня усвоения большого объема теоретического материала у всей учебной группы. Выявить пробелы в знаниях.</w:t>
      </w:r>
    </w:p>
    <w:p>
      <w:pPr/>
      <w:r>
        <w:rPr/>
        <w:t xml:space="preserve">Форма проведения:</w:t>
      </w:r>
    </w:p>
    <w:p>
      <w:pPr/>
      <w:r>
        <w:rPr/>
        <w:t xml:space="preserve">Компьютерное тестирование с использованием систем Google Forms:</w:t>
      </w:r>
    </w:p>
    <w:p>
      <w:pPr/>
      <w:r>
        <w:rPr/>
        <w:t xml:space="preserve">Тест состоит из заданий (вопросов) различных типов, объединенных одной темой. Каждое задание имеет однозначно правильный вариант(ы) ответа.</w:t>
      </w:r>
    </w:p>
    <w:p>
      <w:pPr/>
      <w:r>
        <w:rPr/>
        <w:t xml:space="preserve">Перед началом тестирования студенты получают четкую инструкцию: о времени выполнения, типах заданий, системе оценивания и правилах оформления ответов.</w:t>
      </w:r>
    </w:p>
    <w:p>
      <w:pPr/>
      <w:r>
        <w:rPr/>
        <w:t xml:space="preserve">Интерфейс системы тестирования интуитивно понятен.</w:t>
      </w:r>
    </w:p>
    <w:p>
      <w:pPr/>
      <w:r>
        <w:rPr/>
        <w:t xml:space="preserve">Время проведения: 45-60 минут.</w:t>
      </w:r>
    </w:p>
    <w:p>
      <w:pPr/>
      <w:r>
        <w:rPr/>
        <w:t xml:space="preserve">Типология тестовых заданий:</w:t>
      </w:r>
    </w:p>
    <w:p>
      <w:pPr>
        <w:numPr>
          <w:ilvl w:val="0"/>
          <w:numId w:val="13"/>
        </w:numPr>
      </w:pPr>
      <w:r>
        <w:rPr/>
        <w:t xml:space="preserve">Во время оказания первой помощи пострадавший внезапно побледнел, перестал реагировать на окружающее. Укажите, с чего вы начнете оказывать первую помощь:</w:t>
      </w:r>
    </w:p>
    <w:p>
      <w:pPr/>
      <w:r>
        <w:rPr/>
        <w:t xml:space="preserve">а) проверите признаки дыхания;</w:t>
      </w:r>
    </w:p>
    <w:p>
      <w:pPr/>
      <w:r>
        <w:rPr/>
        <w:t xml:space="preserve">б) откроете дыхательные пути;</w:t>
      </w:r>
    </w:p>
    <w:p>
      <w:pPr/>
      <w:r>
        <w:rPr/>
        <w:t xml:space="preserve">в) позовете помощника;</w:t>
      </w:r>
    </w:p>
    <w:p>
      <w:pPr/>
      <w:r>
        <w:rPr/>
        <w:t xml:space="preserve">г) начнете компрессию грудной клетки;</w:t>
      </w:r>
    </w:p>
    <w:p>
      <w:pPr/>
      <w:r>
        <w:rPr/>
        <w:t xml:space="preserve">д) осмотрите пострадавшего;</w:t>
      </w:r>
    </w:p>
    <w:p>
      <w:pPr/>
      <w:r>
        <w:rPr/>
        <w:t xml:space="preserve">е) сделаете 2 вдоха искусственной вентиляции легких;</w:t>
      </w:r>
    </w:p>
    <w:p>
      <w:pPr/>
      <w:r>
        <w:rPr/>
        <w:t xml:space="preserve">ж) проверите признаки сознания (потрясете пострадавшего и спросите: «Что с вами?»).</w:t>
      </w:r>
    </w:p>
    <w:p>
      <w:pPr>
        <w:numPr>
          <w:ilvl w:val="0"/>
          <w:numId w:val="14"/>
        </w:numPr>
      </w:pPr>
      <w:r>
        <w:rPr/>
        <w:t xml:space="preserve">Для временной остановки артериального кровотечения необходимо выполнить следующие действия:</w:t>
      </w:r>
    </w:p>
    <w:p>
      <w:pPr/>
      <w:r>
        <w:rPr/>
        <w:t xml:space="preserve">а) осуществить пальцевое прижатие артерии, наложить давящую повязку на</w:t>
      </w:r>
    </w:p>
    <w:p>
      <w:pPr/>
      <w:r>
        <w:rPr/>
        <w:t xml:space="preserve">рану, при необходимости наложить кровоостанавливающий жгут;</w:t>
      </w:r>
    </w:p>
    <w:p>
      <w:pPr/>
      <w:r>
        <w:rPr/>
        <w:t xml:space="preserve">б) наложить кровоостанавливающий жгут;</w:t>
      </w:r>
    </w:p>
    <w:p>
      <w:pPr/>
      <w:r>
        <w:rPr/>
        <w:t xml:space="preserve">в) наложить давящую повязку на рану, доставить пострадавшего в медицинскую организацию;</w:t>
      </w:r>
    </w:p>
    <w:p>
      <w:pPr/>
      <w:r>
        <w:rPr/>
        <w:t xml:space="preserve">г) зажать артерию в ране, наложить кровоостанавливающий жгут.</w:t>
      </w:r>
    </w:p>
    <w:p>
      <w:pPr>
        <w:numPr>
          <w:ilvl w:val="0"/>
          <w:numId w:val="15"/>
        </w:numPr>
      </w:pPr>
      <w:r>
        <w:rPr/>
        <w:t xml:space="preserve">Когда производится вызов скорой медицинской помощи:</w:t>
      </w:r>
    </w:p>
    <w:p>
      <w:pPr/>
      <w:r>
        <w:rPr/>
        <w:t xml:space="preserve">а) непосредственно после оказания первой помощи пострадавшим;</w:t>
      </w:r>
    </w:p>
    <w:p>
      <w:pPr/>
      <w:r>
        <w:rPr/>
        <w:t xml:space="preserve">б) сразу после определения наличия пострадавших на месте происшествия;</w:t>
      </w:r>
    </w:p>
    <w:p>
      <w:pPr/>
      <w:r>
        <w:rPr/>
        <w:t xml:space="preserve">в) после определения примерного количества и состояния пострадавших;</w:t>
      </w:r>
    </w:p>
    <w:p>
      <w:pPr/>
      <w:r>
        <w:rPr/>
        <w:t xml:space="preserve">г) сразу же по прибытии на место дорожно-транспортного происшествия.</w:t>
      </w:r>
    </w:p>
    <w:p>
      <w:pPr>
        <w:numPr>
          <w:ilvl w:val="0"/>
          <w:numId w:val="16"/>
        </w:numPr>
      </w:pPr>
      <w:r>
        <w:rPr/>
        <w:t xml:space="preserve">Частота надавливания при проведении компрессии грудной клетки составляет:</w:t>
      </w:r>
    </w:p>
    <w:p>
      <w:pPr/>
      <w:r>
        <w:rPr/>
        <w:t xml:space="preserve">а) 60–80 в 1 минуту;</w:t>
      </w:r>
    </w:p>
    <w:p>
      <w:pPr/>
      <w:r>
        <w:rPr/>
        <w:t xml:space="preserve">б) 40–50 в 1 минуту;</w:t>
      </w:r>
    </w:p>
    <w:p>
      <w:pPr/>
      <w:r>
        <w:rPr/>
        <w:t xml:space="preserve">в) не менее 100 в 1 минуту;</w:t>
      </w:r>
    </w:p>
    <w:p>
      <w:pPr/>
      <w:r>
        <w:rPr/>
        <w:t xml:space="preserve">г) 80–90 в 1 минуту;</w:t>
      </w:r>
    </w:p>
    <w:p>
      <w:pPr/>
      <w:r>
        <w:rPr/>
        <w:t xml:space="preserve">д) 60 в 1 минуту.</w:t>
      </w:r>
    </w:p>
    <w:p>
      <w:pPr>
        <w:numPr>
          <w:ilvl w:val="0"/>
          <w:numId w:val="17"/>
        </w:numPr>
      </w:pPr>
      <w:r>
        <w:rPr/>
        <w:t xml:space="preserve">В каких случаях наносится прекардиальный удар при оказании первой помощи:</w:t>
      </w:r>
    </w:p>
    <w:p>
      <w:pPr/>
      <w:r>
        <w:rPr/>
        <w:t xml:space="preserve">а) прекардиальный удар не наносится;</w:t>
      </w:r>
    </w:p>
    <w:p>
      <w:pPr/>
      <w:r>
        <w:rPr/>
        <w:t xml:space="preserve">б) при отсутствии у пострадавшего признаков жизни;</w:t>
      </w:r>
    </w:p>
    <w:p>
      <w:pPr/>
      <w:r>
        <w:rPr/>
        <w:t xml:space="preserve">в) при отсутствии эффекта от проводимой сердечно-легочной реанимации;</w:t>
      </w:r>
    </w:p>
    <w:p>
      <w:pPr/>
      <w:r>
        <w:rPr/>
        <w:t xml:space="preserve">г) при появлении у пострадавшего болей за грудиной.</w:t>
      </w:r>
    </w:p>
    <w:p>
      <w:pPr/>
      <w:r>
        <w:rPr/>
        <w:t xml:space="preserve"> </w:t>
      </w:r>
    </w:p>
    <w:p>
      <w:pPr/>
      <w:r>
        <w:rPr/>
        <w:t xml:space="preserve">По результатам теста студентам выносится оценки: «зачтено» - правильных ответов ровно или более 70 %, «незачтено» - правильных ответов менее 70 % от их общего числа.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Комплексная проверка результатов обучения по всей дисциплине в целом.</w:t>
      </w:r>
    </w:p>
    <w:p>
      <w:pPr/>
      <w:r>
        <w:rPr/>
        <w:t xml:space="preserve">Форма проведения:</w:t>
      </w:r>
    </w:p>
    <w:p>
      <w:pPr>
        <w:numPr>
          <w:ilvl w:val="0"/>
          <w:numId w:val="18"/>
        </w:numPr>
      </w:pPr>
      <w:r>
        <w:rPr/>
        <w:t xml:space="preserve">Собеседование по билетам, содержащим теоретические и практические вопросы.</w:t>
      </w:r>
    </w:p>
    <w:p>
      <w:pPr>
        <w:numPr>
          <w:ilvl w:val="0"/>
          <w:numId w:val="18"/>
        </w:numPr>
      </w:pPr>
      <w:r>
        <w:rPr/>
        <w:t xml:space="preserve">Устное собеседование на основе результатов всех видов работ за семестр (докладов, решенной рабочей тетради, тестов). </w:t>
      </w:r>
    </w:p>
    <w:p>
      <w:pPr/>
      <w:r>
        <w:rPr/>
        <w:t xml:space="preserve">Допуск к зачету: </w:t>
      </w:r>
    </w:p>
    <w:p>
      <w:pPr/>
      <w:r>
        <w:rPr/>
        <w:t xml:space="preserve">Студент допускается к зачету при условии выполнения в полном объеме всех видов учебной работы, предусмотренных учебным планом и РПД за семестр (посещение лекций и семинаров, своевременная сдача всех оценочных средств: докладов, рабочей тетради, тестов).</w:t>
      </w:r>
    </w:p>
    <w:p>
      <w:pPr/>
      <w:r>
        <w:rPr/>
        <w:t xml:space="preserve">Во время зачета студенту запрещено пользоваться конспектами, учебной литературой и средствами связи (если иное не оговорено преподавателем).</w:t>
      </w:r>
    </w:p>
    <w:p>
      <w:pPr/>
      <w:r>
        <w:rPr/>
        <w:t xml:space="preserve">Вопросы по темам/разделам дисциплины:</w:t>
      </w:r>
    </w:p>
    <w:p>
      <w:pPr>
        <w:numPr>
          <w:ilvl w:val="0"/>
          <w:numId w:val="19"/>
        </w:numPr>
      </w:pPr>
      <w:r>
        <w:rPr/>
        <w:t xml:space="preserve">Дать определение «здоровье», «здоровый образ жизни» (ЗОЖ). Цели и задачи ЗОЖ. 2. Факторы, влияющие на здоровье и продолжительность жизни человека.</w:t>
      </w:r>
    </w:p>
    <w:p>
      <w:pPr>
        <w:numPr>
          <w:ilvl w:val="0"/>
          <w:numId w:val="19"/>
        </w:numPr>
      </w:pPr>
      <w:r>
        <w:rPr/>
        <w:t xml:space="preserve">Основные составляющие здорового образа жизни, их значение на возникновение болезни. Показатели состояния здоровья.</w:t>
      </w:r>
    </w:p>
    <w:p>
      <w:pPr>
        <w:numPr>
          <w:ilvl w:val="0"/>
          <w:numId w:val="19"/>
        </w:numPr>
      </w:pPr>
      <w:r>
        <w:rPr/>
        <w:t xml:space="preserve">Человек и окружающая среда. Влияние климатических условий Карелии на здоровье населения.</w:t>
      </w:r>
    </w:p>
    <w:p>
      <w:pPr>
        <w:numPr>
          <w:ilvl w:val="0"/>
          <w:numId w:val="19"/>
        </w:numPr>
      </w:pPr>
      <w:r>
        <w:rPr/>
        <w:t xml:space="preserve">Соматические заболевания. Социально значимые соматические заболевания.</w:t>
      </w:r>
    </w:p>
    <w:p>
      <w:pPr>
        <w:numPr>
          <w:ilvl w:val="0"/>
          <w:numId w:val="19"/>
        </w:numPr>
      </w:pPr>
      <w:r>
        <w:rPr/>
        <w:t xml:space="preserve">Сердечно-сосудистые заболевания.</w:t>
      </w:r>
    </w:p>
    <w:p>
      <w:pPr>
        <w:numPr>
          <w:ilvl w:val="0"/>
          <w:numId w:val="19"/>
        </w:numPr>
      </w:pPr>
      <w:r>
        <w:rPr/>
        <w:t xml:space="preserve">Болезни органов дыхания; профилактика.</w:t>
      </w:r>
    </w:p>
    <w:p>
      <w:pPr>
        <w:numPr>
          <w:ilvl w:val="0"/>
          <w:numId w:val="19"/>
        </w:numPr>
      </w:pPr>
      <w:r>
        <w:rPr/>
        <w:t xml:space="preserve">Сахарный диабет.</w:t>
      </w:r>
    </w:p>
    <w:p>
      <w:pPr>
        <w:numPr>
          <w:ilvl w:val="0"/>
          <w:numId w:val="19"/>
        </w:numPr>
      </w:pPr>
      <w:r>
        <w:rPr/>
        <w:t xml:space="preserve">Заболевания желудочно-кишечного тракта.</w:t>
      </w:r>
    </w:p>
    <w:p>
      <w:pPr>
        <w:numPr>
          <w:ilvl w:val="0"/>
          <w:numId w:val="19"/>
        </w:numPr>
      </w:pPr>
      <w:r>
        <w:rPr/>
        <w:t xml:space="preserve">Уровни профилактики соматических заболеваний.</w:t>
      </w:r>
    </w:p>
    <w:p>
      <w:pPr>
        <w:numPr>
          <w:ilvl w:val="0"/>
          <w:numId w:val="19"/>
        </w:numPr>
      </w:pPr>
      <w:r>
        <w:rPr/>
        <w:t xml:space="preserve">Нервно-психические расстройства у детей и подростков.</w:t>
      </w:r>
    </w:p>
    <w:p>
      <w:pPr>
        <w:numPr>
          <w:ilvl w:val="0"/>
          <w:numId w:val="19"/>
        </w:numPr>
      </w:pPr>
      <w:r>
        <w:rPr/>
        <w:t xml:space="preserve">Юридическая ответственность за правонарушения при оказании первой помощи в РФ.</w:t>
      </w:r>
    </w:p>
    <w:p>
      <w:pPr>
        <w:numPr>
          <w:ilvl w:val="0"/>
          <w:numId w:val="19"/>
        </w:numPr>
      </w:pPr>
      <w:r>
        <w:rPr/>
        <w:t xml:space="preserve">Нормативно-правовые документы, регламентирующие оказание первой помощи в РФ.</w:t>
      </w:r>
    </w:p>
    <w:p>
      <w:pPr>
        <w:numPr>
          <w:ilvl w:val="0"/>
          <w:numId w:val="19"/>
        </w:numPr>
      </w:pPr>
      <w:r>
        <w:rPr/>
        <w:t xml:space="preserve">Перечень состояний, при которых оказывается первая помощь, в случае возникновения чрезвычайных ситуаций и военных конфликтов.</w:t>
      </w:r>
    </w:p>
    <w:p>
      <w:pPr>
        <w:numPr>
          <w:ilvl w:val="0"/>
          <w:numId w:val="19"/>
        </w:numPr>
      </w:pPr>
      <w:r>
        <w:rPr/>
        <w:t xml:space="preserve">Алгоритм оказания первой помощи.</w:t>
      </w:r>
    </w:p>
    <w:p>
      <w:pPr>
        <w:numPr>
          <w:ilvl w:val="0"/>
          <w:numId w:val="19"/>
        </w:numPr>
      </w:pPr>
      <w:r>
        <w:rPr/>
        <w:t xml:space="preserve">Первая помощь при отсутствии сознания.</w:t>
      </w:r>
    </w:p>
    <w:p>
      <w:pPr>
        <w:numPr>
          <w:ilvl w:val="0"/>
          <w:numId w:val="19"/>
        </w:numPr>
      </w:pPr>
      <w:r>
        <w:rPr/>
        <w:t xml:space="preserve">Первая помощь при остановке дыхания и кровообращения.</w:t>
      </w:r>
    </w:p>
    <w:p>
      <w:pPr>
        <w:numPr>
          <w:ilvl w:val="0"/>
          <w:numId w:val="19"/>
        </w:numPr>
      </w:pPr>
      <w:r>
        <w:rPr/>
        <w:t xml:space="preserve">Первая помощь при наружном кровотечении.</w:t>
      </w:r>
    </w:p>
    <w:p>
      <w:pPr>
        <w:numPr>
          <w:ilvl w:val="0"/>
          <w:numId w:val="19"/>
        </w:numPr>
      </w:pPr>
      <w:r>
        <w:rPr/>
        <w:t xml:space="preserve">Первая помощь при попадании инородных тел в верхние дыхательные пути.</w:t>
      </w:r>
    </w:p>
    <w:p>
      <w:pPr>
        <w:numPr>
          <w:ilvl w:val="0"/>
          <w:numId w:val="19"/>
        </w:numPr>
      </w:pPr>
      <w:r>
        <w:rPr/>
        <w:t xml:space="preserve">Первая помощь при травмах различных областей тела. Транспортная иммобилизация.</w:t>
      </w:r>
    </w:p>
    <w:p>
      <w:pPr>
        <w:numPr>
          <w:ilvl w:val="0"/>
          <w:numId w:val="19"/>
        </w:numPr>
      </w:pPr>
      <w:r>
        <w:rPr/>
        <w:t xml:space="preserve">Первая помощь при воздействия высоких температур, теплового излучения.</w:t>
      </w:r>
    </w:p>
    <w:p>
      <w:pPr>
        <w:numPr>
          <w:ilvl w:val="0"/>
          <w:numId w:val="19"/>
        </w:numPr>
      </w:pPr>
      <w:r>
        <w:rPr/>
        <w:t xml:space="preserve">Первая помощь при ожогах.</w:t>
      </w:r>
    </w:p>
    <w:p>
      <w:pPr>
        <w:numPr>
          <w:ilvl w:val="0"/>
          <w:numId w:val="19"/>
        </w:numPr>
      </w:pPr>
      <w:r>
        <w:rPr/>
        <w:t xml:space="preserve">Первая помощь при отморожении и других эффектах воздействия низких температур.</w:t>
      </w:r>
    </w:p>
    <w:p>
      <w:pPr>
        <w:numPr>
          <w:ilvl w:val="0"/>
          <w:numId w:val="19"/>
        </w:numPr>
      </w:pPr>
      <w:r>
        <w:rPr/>
        <w:t xml:space="preserve">Первая помощь при отравлении.</w:t>
      </w:r>
    </w:p>
    <w:p>
      <w:pPr>
        <w:numPr>
          <w:ilvl w:val="0"/>
          <w:numId w:val="19"/>
        </w:numPr>
      </w:pPr>
      <w:r>
        <w:rPr/>
        <w:t xml:space="preserve">Первая помощь при острых стрессовых реакциях</w:t>
      </w:r>
    </w:p>
    <w:p>
      <w:pP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«Первая помощь при неотложных состояниях, в том числе при при угрозе возникновения чрезвычайных ситуаций и военных конфликтов», поскольку материал данного раздела содержит современные рекомендации как по оказанию первой помощи пострадавшим при несчастных случаях, травмах, отравлениях и других состояниях и заболеваниях, угрожающих жизни и здоровью.</w:t>
      </w:r>
    </w:p>
    <w:p>
      <w:pPr/>
      <w:r>
        <w:rPr>
          <w:b w:val="1"/>
          <w:bCs w:val="1"/>
        </w:rPr>
        <w:t xml:space="preserve">При подготовке эссе</w:t>
      </w:r>
      <w:r>
        <w:rPr/>
        <w:t xml:space="preserve">: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</w:t>
      </w:r>
      <w:r>
        <w:rPr/>
        <w:t xml:space="preserve"> </w:t>
      </w:r>
      <w:r>
        <w:rPr/>
        <w:t xml:space="preserve"> Быть готовым ответить в форме собеседования на уточняющие вопросы.</w:t>
      </w:r>
    </w:p>
    <w:p>
      <w:pPr/>
      <w:r>
        <w:rPr/>
        <w:t xml:space="preserve">При подготовке к зачёту необходимо изучить материал по вопросам, используя рекомендуемую учебную литературу и материал лекций и практических занятий.</w:t>
      </w:r>
    </w:p>
    <w:p>
      <w:pPr/>
      <w:r>
        <w:rPr/>
        <w:t xml:space="preserve">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заболеваниях, без овладения которыми невозможно успешное решение практических проблем. Эти алгоритмы действий включают в себя:</w:t>
      </w:r>
    </w:p>
    <w:p>
      <w:pPr/>
      <w:r>
        <w:rPr/>
        <w:t xml:space="preserve">– изучение конкретной ситуации, требующей обоснования или решения;</w:t>
      </w:r>
    </w:p>
    <w:p>
      <w:pPr/>
      <w:r>
        <w:rPr/>
        <w:t xml:space="preserve">– оценка или квалификация этой ситуации;</w:t>
      </w:r>
    </w:p>
    <w:p>
      <w:pPr/>
      <w:r>
        <w:rPr/>
        <w:t xml:space="preserve">– поиск соответствующих решений из ранее изученного теоретического или практического материала;</w:t>
      </w:r>
    </w:p>
    <w:p>
      <w:pPr/>
      <w:r>
        <w:rPr/>
        <w:t xml:space="preserve">– толкование правовых, ценностных и иных видов норм, подлежащих применению;</w:t>
      </w:r>
    </w:p>
    <w:p>
      <w:pPr/>
      <w:r>
        <w:rPr/>
        <w:t xml:space="preserve">– принятие решения, разрешающего конкретную заданную ситуацию;</w:t>
      </w:r>
    </w:p>
    <w:p>
      <w:pPr/>
      <w:r>
        <w:rPr/>
        <w:t xml:space="preserve">– обоснование принятого решения, его формулирование в письменном или устном виде;</w:t>
      </w:r>
    </w:p>
    <w:p>
      <w:pPr/>
      <w:r>
        <w:rPr/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</w:p>
    <w:p>
      <w:pPr/>
      <w:r>
        <w:rPr/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поставленные в задаче вопросы необходимо дать обоснованную оценку предложенной ситуации. При этом выводы должны быть мотивированы. При решении задач недопустимо ограничиваться однозначным ответом "да" или "нет". </w:t>
      </w:r>
      <w:r>
        <w:rPr/>
        <w:t xml:space="preserve"> </w:t>
      </w:r>
      <w:r>
        <w:rPr/>
        <w:t xml:space="preserve">Необходим максимально полный ответ. Подготовка к анализу ситуации включает следующие рекомендации:</w:t>
      </w:r>
    </w:p>
    <w:p>
      <w:pPr/>
      <w:r>
        <w:rPr/>
        <w:t xml:space="preserve">1.Сначала прочитайте всю имеющуюся информацию, чтобы составить целостное представление о ситуации. Читая, не пытайтесь сразу анализировать.</w:t>
      </w:r>
    </w:p>
    <w:p>
      <w:pPr/>
      <w:r>
        <w:rPr/>
        <w:t xml:space="preserve">2.Еще раз внимательно прочитайте информацию. Выделите те симптомы, которые вам показались важными.</w:t>
      </w:r>
    </w:p>
    <w:p>
      <w:pPr/>
      <w:r>
        <w:rPr/>
        <w:t xml:space="preserve">3.Постарайтесь охарактеризовать ситуацию. Определите, в чем ее сущность, и что второстепенно. Затем письменно зафиксируйте выводы — основную проблему и проблемы, ей подчиненные.</w:t>
      </w:r>
    </w:p>
    <w:p>
      <w:pPr/>
      <w:r>
        <w:rPr/>
        <w:t xml:space="preserve">4.Зафиксируйте все факты, касающиеся этой проблемы. Не все факты, изложенные в ситуации, могут быть прямо связаны с ней. Так будет легче проследить взаимосвязь между приведенными данными.</w:t>
      </w:r>
    </w:p>
    <w:p>
      <w:pPr/>
      <w:r>
        <w:rPr/>
        <w:t xml:space="preserve">5.Сформулируйте критерии для проверки правильности предложенного решения.</w:t>
      </w:r>
    </w:p>
    <w:p>
      <w:pPr/>
      <w:r>
        <w:rPr/>
        <w:t xml:space="preserve">6.Попробуйте найти альтернативные варианты решения, если такие существуют. Какие из них наиболее удовлетворяют критерию?</w:t>
      </w:r>
    </w:p>
    <w:p>
      <w:pPr/>
      <w:r>
        <w:rPr/>
        <w:t xml:space="preserve">7.Разработайте перечень практических мероприятий по реализации нашего решения.</w:t>
      </w:r>
    </w:p>
    <w:p>
      <w:pPr/>
      <w:r>
        <w:rPr/>
        <w:t xml:space="preserve"> </w:t>
      </w:r>
    </w:p>
    <w:p>
      <w:pPr/>
      <w:r>
        <w:rPr/>
        <w:t xml:space="preserve">Критерии оценивания решения задач:</w:t>
      </w:r>
    </w:p>
    <w:p>
      <w:pPr/>
      <w:r>
        <w:rPr/>
        <w:t xml:space="preserve">– оценка «отлично»: ответ на вопрос задачи дан правильный. Объяснение хода ее решения подробное, последовательное, грамотное, с теоретическими обоснованиями (в том числе </w:t>
      </w:r>
      <w:r>
        <w:rPr/>
        <w:t xml:space="preserve"> </w:t>
      </w:r>
      <w:r>
        <w:rPr/>
        <w:t xml:space="preserve">из лекционного курса); с правильным и свободным владением терминологией. Ответы на дополнительные вопросы верные, четкие; практические умения быстрые и правильные</w:t>
      </w:r>
    </w:p>
    <w:p>
      <w:pPr/>
      <w:r>
        <w:rPr/>
        <w:t xml:space="preserve">– оценка «хорошо»: ответ на вопрос задачи дан правильный. Объяснение хода ее решения подробное, но недостаточно логичное, с единичными ошибками в деталях, </w:t>
      </w:r>
      <w:r>
        <w:rPr/>
        <w:t xml:space="preserve"> </w:t>
      </w:r>
      <w:r>
        <w:rPr/>
        <w:t xml:space="preserve">с некоторыми затруднениями в теоретическом обосновании (в том числе из лекционного материала), с некоторыми затруднениями в практических</w:t>
      </w:r>
      <w:r>
        <w:rPr/>
        <w:t xml:space="preserve"> </w:t>
      </w:r>
      <w:r>
        <w:rPr/>
        <w:t xml:space="preserve"> умениях. Ответы на дополнительные вопросы верные, но недостаточно четкие.</w:t>
      </w:r>
    </w:p>
    <w:p>
      <w:pPr/>
      <w:r>
        <w:rPr/>
        <w:t xml:space="preserve">– оценка «удовлетворительно»: ответ на вопрос задачи дан правильный. Объяснение хода ее решения недостаточно полное, непоследовательное, с ошибками, слабым теоретическим обоснованием (в том числе лекционным материалом), ответы на дополнительные вопросы недостаточно четкие, с ошибками в деталях и практических умениях.</w:t>
      </w:r>
    </w:p>
    <w:p>
      <w:pPr/>
      <w:r>
        <w:rPr/>
        <w:t xml:space="preserve">– оценка «неудовлетворительно»: ответ на вопрос задачи дан не правильный. Объяснение хода ее решения дано неполное, непоследовательное, с грубыми ошибками, без теоретического обоснования (в том числе лекционным материалом), с большим количеством ошибок. Ответы на дополнительные вопросы неправильные или отсутствуют.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Раздел: Здоровый образ жизни как биологическая и социальная задача.</w:t>
      </w:r>
    </w:p>
    <w:p>
      <w:pPr/>
      <w:r>
        <w:rPr/>
        <w:t xml:space="preserve">Методы обучения: Словесный метод - лекции с элементами беседы.</w:t>
      </w:r>
    </w:p>
    <w:p>
      <w:pPr/>
      <w:r>
        <w:rPr/>
        <w:t xml:space="preserve">Средства обучения: обучающие фильмы.</w:t>
      </w:r>
    </w:p>
    <w:p>
      <w:pPr/>
      <w:r>
        <w:rPr/>
        <w:t xml:space="preserve">Раздел: Первая помощь при неотложных состояниях, в том числе при при угрозе возникновения чрезвычайных ситуаций и военных конфликтов.</w:t>
      </w:r>
    </w:p>
    <w:p>
      <w:pPr/>
      <w:r>
        <w:rPr/>
        <w:t xml:space="preserve">Методы обучения: Словесный метод - лекции с элементами беседы</w:t>
      </w:r>
    </w:p>
    <w:p>
      <w:pPr/>
      <w:r>
        <w:rPr/>
        <w:t xml:space="preserve">Практический метод – оценка состояния и правильность оказания первой помощи пострадавшим (заболевшим) обучающимися в различных жизненных ситуациях по предложенным ситуационным задачам с использованием манекенов.</w:t>
      </w:r>
    </w:p>
    <w:p>
      <w:pPr/>
      <w:r>
        <w:rPr/>
        <w:t xml:space="preserve">Средства обучения: Манекен-взрослый для проведения реанимации, бинты, шины, тонометры, фонендоскопы, термометры, шины, косынки, манекен-ребенок для проведения реанимации, жгуты, применение наглядных пособий, пузырь для льда, грелка.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0"/>
        </w:numPr>
      </w:pPr>
      <w:r>
        <w:rPr/>
        <w:t xml:space="preserve">Волокитина Т. В. «Основы медицинских знаний» / Т.</w:t>
      </w:r>
      <w:r>
        <w:rPr/>
        <w:t xml:space="preserve"> </w:t>
      </w:r>
      <w:r>
        <w:rPr/>
        <w:t xml:space="preserve"> В. Волокитина, Г.</w:t>
      </w:r>
      <w:r>
        <w:rPr/>
        <w:t xml:space="preserve"> </w:t>
      </w:r>
      <w:r>
        <w:rPr/>
        <w:t xml:space="preserve"> Г. Бральнина, Н. И. Никитинская – Москва : « Академия», 2008.–223 с</w:t>
      </w:r>
    </w:p>
    <w:p>
      <w:pPr>
        <w:numPr>
          <w:ilvl w:val="0"/>
          <w:numId w:val="20"/>
        </w:numPr>
      </w:pPr>
      <w:r>
        <w:rPr/>
        <w:t xml:space="preserve">Мельникова М. М. Медицина катастроф : учеб. Пособие /М. М. Мельникова [и др.].– </w:t>
      </w:r>
      <w:r>
        <w:rPr/>
        <w:t xml:space="preserve">Новосибирск : АРТА, 2011. – 272с.</w:t>
      </w:r>
    </w:p>
    <w:p>
      <w:pPr>
        <w:numPr>
          <w:ilvl w:val="0"/>
          <w:numId w:val="20"/>
        </w:numPr>
      </w:pPr>
      <w:r>
        <w:rPr/>
        <w:t xml:space="preserve">Тен Е. Е. Основы медицинских знаний / Е. Е. Тен. – Москва : Академия, 2005.– </w:t>
      </w:r>
      <w:r>
        <w:rPr/>
        <w:t xml:space="preserve">255с.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1"/>
        </w:numPr>
      </w:pPr>
      <w:r>
        <w:rPr/>
        <w:t xml:space="preserve">Аверьянов М. Ю., Смирнов В. П. Повязки в лечебной практике: учеб. пособие для студенч. учреждений средн. мед. проф. образования – Москва: Изд. </w:t>
      </w:r>
      <w:r>
        <w:rPr/>
        <w:t xml:space="preserve">Центр «Академия», 2010.– 128с. </w:t>
      </w:r>
    </w:p>
    <w:p>
      <w:pPr>
        <w:numPr>
          <w:ilvl w:val="0"/>
          <w:numId w:val="21"/>
        </w:numPr>
      </w:pPr>
      <w:r>
        <w:rPr/>
        <w:t xml:space="preserve">Биржаков М. Б. Введение в туризм. Москва – Санкт-Петербург : «Изд. Дом Герда»</w:t>
      </w:r>
      <w:r>
        <w:rPr/>
        <w:t xml:space="preserve"> </w:t>
      </w:r>
      <w:r>
        <w:rPr/>
        <w:t xml:space="preserve"> 2003г. </w:t>
      </w:r>
      <w:r>
        <w:rPr/>
        <w:t xml:space="preserve">318 с.</w:t>
      </w:r>
    </w:p>
    <w:p>
      <w:pPr>
        <w:numPr>
          <w:ilvl w:val="0"/>
          <w:numId w:val="21"/>
        </w:numPr>
      </w:pPr>
      <w:r>
        <w:rPr/>
        <w:t xml:space="preserve">Глыбочко П. В. Первая медицинская помощь</w:t>
      </w:r>
      <w:r>
        <w:rPr/>
        <w:t xml:space="preserve"> </w:t>
      </w:r>
      <w:r>
        <w:rPr/>
        <w:t xml:space="preserve"> / П. В.</w:t>
      </w:r>
      <w:r>
        <w:rPr/>
        <w:t xml:space="preserve"> </w:t>
      </w:r>
      <w:r>
        <w:rPr/>
        <w:t xml:space="preserve"> Глыбочко с соавт.– Москва «Академия», 2008 г.– 233с.</w:t>
      </w:r>
      <w:r>
        <w:rPr/>
        <w:t xml:space="preserve">     </w:t>
      </w:r>
    </w:p>
    <w:p>
      <w:pPr>
        <w:numPr>
          <w:ilvl w:val="0"/>
          <w:numId w:val="21"/>
        </w:numPr>
      </w:pPr>
      <w:r>
        <w:rPr/>
        <w:t xml:space="preserve">Соловьёв С. С. Безопасный отдых и туризм : уч. пос. для стед.</w:t>
      </w:r>
      <w:r>
        <w:rPr/>
        <w:t xml:space="preserve"> </w:t>
      </w:r>
      <w:r>
        <w:rPr/>
        <w:t xml:space="preserve"> высших уч. заведений</w:t>
      </w:r>
      <w:r>
        <w:rPr/>
        <w:t xml:space="preserve"> </w:t>
      </w:r>
      <w:r>
        <w:rPr/>
        <w:t xml:space="preserve"> –</w:t>
      </w:r>
      <w:r>
        <w:rPr/>
        <w:t xml:space="preserve"> </w:t>
      </w:r>
      <w:r>
        <w:rPr/>
        <w:t xml:space="preserve"> Москва. Изд. Центр «Академия» 2008г .– </w:t>
      </w:r>
      <w:r>
        <w:rPr/>
        <w:t xml:space="preserve">282с.              </w:t>
      </w:r>
    </w:p>
    <w:p>
      <w:pPr>
        <w:numPr>
          <w:ilvl w:val="0"/>
          <w:numId w:val="21"/>
        </w:numPr>
      </w:pPr>
      <w:r>
        <w:rPr/>
        <w:t xml:space="preserve">Туманян Г. С. «Здоровый образ жизни и физическое совершенствование»: учебное пособие</w:t>
      </w:r>
      <w:r>
        <w:rPr/>
        <w:t xml:space="preserve"> </w:t>
      </w:r>
      <w:r>
        <w:rPr/>
        <w:t xml:space="preserve"> / Туманян Г.</w:t>
      </w:r>
      <w:r>
        <w:rPr/>
        <w:t xml:space="preserve"> </w:t>
      </w:r>
      <w:r>
        <w:rPr/>
        <w:t xml:space="preserve"> </w:t>
      </w:r>
      <w:r>
        <w:rPr/>
        <w:t xml:space="preserve">С. – Москва «Академия», 2006 г. – 334 с. </w:t>
      </w:r>
    </w:p>
    <w:p>
      <w:pPr>
        <w:numPr>
          <w:ilvl w:val="0"/>
          <w:numId w:val="21"/>
        </w:numPr>
      </w:pPr>
      <w:r>
        <w:rPr/>
        <w:t xml:space="preserve">Щанкин, А. А. Курс лекций по основам медицинских знаний и здорового образа жизни : учебное пособие : [16+] / А.А.</w:t>
      </w:r>
      <w:r>
        <w:rPr/>
        <w:t xml:space="preserve"> </w:t>
      </w:r>
      <w:r>
        <w:rPr/>
        <w:t xml:space="preserve">Щанкин. – 2-е изд., стер. – Москва ; Берлин : Директ-Медиа, 2019. – 98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https://biblioclub.ru/index.php?page=book&amp;id=577666</w:t>
        </w:r>
      </w:hyperlink>
      <w:r>
        <w:rPr/>
        <w:t xml:space="preserve"> </w:t>
      </w:r>
      <w:r>
        <w:rPr/>
        <w:t xml:space="preserve"> – </w:t>
      </w:r>
      <w:r>
        <w:rPr/>
        <w:t xml:space="preserve">ISBN</w:t>
      </w:r>
      <w:r>
        <w:rPr/>
        <w:t xml:space="preserve"> 978-5-4499-0140-8. – </w:t>
      </w:r>
      <w:r>
        <w:rPr/>
        <w:t xml:space="preserve">DOI</w:t>
      </w:r>
      <w:r>
        <w:rPr/>
        <w:t xml:space="preserve">23681/577666. – Текст : электронный.</w:t>
      </w:r>
      <w:r>
        <w:rPr/>
        <w:t xml:space="preserve">                  </w:t>
      </w:r>
    </w:p>
    <w:p>
      <w:pPr>
        <w:numPr>
          <w:ilvl w:val="0"/>
          <w:numId w:val="21"/>
        </w:numPr>
      </w:pPr>
      <w:r>
        <w:rPr/>
        <w:t xml:space="preserve">Мисюк М. Н. Основы медицинских знаний и здорового образа жизни. </w:t>
      </w:r>
      <w:r>
        <w:rPr/>
        <w:t xml:space="preserve">2015 .</w:t>
      </w:r>
    </w:p>
    <w:p>
      <w:pPr>
        <w:numPr>
          <w:ilvl w:val="0"/>
          <w:numId w:val="21"/>
        </w:numPr>
      </w:pPr>
      <w:hyperlink r:id="rId8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21"/>
        </w:numPr>
      </w:pPr>
      <w:r>
        <w:rPr/>
        <w:t xml:space="preserve">Низкодубова С. В. Основы медицинских знаний. Учебное пособие. Томск, 2003</w:t>
      </w:r>
      <w:r>
        <w:rPr/>
        <w:t xml:space="preserve"> </w:t>
      </w:r>
      <w:hyperlink r:id="rId9" w:history="1">
        <w:r>
          <w:rPr/>
          <w:t xml:space="preserve">https://www.tspu.edu.ru/oldfiles/libserv/files/Nizkodubova_osnovi_med_znanii.pd</w:t>
        </w:r>
      </w:hyperlink>
    </w:p>
    <w:p>
      <w:pPr>
        <w:numPr>
          <w:ilvl w:val="0"/>
          <w:numId w:val="21"/>
        </w:numPr>
      </w:pPr>
      <w:r>
        <w:rPr/>
        <w:t xml:space="preserve">Н. А. Мельникова, Е. А. Шамрова, Н. В. Громова. Основы медицинских знаний и здорового образа жизни. </w:t>
      </w:r>
      <w:r>
        <w:rPr/>
        <w:t xml:space="preserve">2007 </w:t>
      </w:r>
      <w:hyperlink r:id="rId10" w:history="1">
        <w:r>
          <w:rPr/>
          <w:t xml:space="preserve">https://медпортал.com/valeologiya_738/osnovyi-meditsinskih-znaniy-zdorovogo-obraza348.html</w:t>
        </w:r>
      </w:hyperlink>
    </w:p>
    <w:p>
      <w:pPr>
        <w:numPr>
          <w:ilvl w:val="0"/>
          <w:numId w:val="21"/>
        </w:numPr>
      </w:pPr>
      <w:r>
        <w:rPr/>
        <w:t xml:space="preserve">Основы МЕДИЦИНСКИХ ЗНАНИЙ И ЗДОРОВОГО</w:t>
      </w:r>
      <w:r>
        <w:rPr/>
        <w:t xml:space="preserve"> </w:t>
      </w:r>
      <w:r>
        <w:rPr/>
        <w:t xml:space="preserve">ОБРАЗА ЖИЗНИ. Учебное пособие. Арзамас</w:t>
      </w:r>
      <w:r>
        <w:rPr/>
        <w:t xml:space="preserve"> </w:t>
      </w:r>
      <w:r>
        <w:rPr/>
        <w:t xml:space="preserve">АГПИ – 2009 </w:t>
      </w:r>
      <w:hyperlink r:id="rId11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21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studentlibrary</w:t>
      </w:r>
      <w:r>
        <w:rPr/>
        <w:t xml:space="preserve">.</w:t>
      </w:r>
      <w:r>
        <w:rPr/>
        <w:t xml:space="preserve">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/>
    </w:p>
    <w:p>
      <w:pPr>
        <w:numPr>
          <w:ilvl w:val="0"/>
          <w:numId w:val="22"/>
        </w:numPr>
      </w:pPr>
      <w:r>
        <w:rPr/>
        <w:t xml:space="preserve">электронный каталог научной библиотеки ПетрГУ </w:t>
      </w:r>
      <w:hyperlink r:id="rId12" w:history="1">
        <w:r>
          <w:rPr/>
          <w:t xml:space="preserve">http://foliant/ru/catalog/psulibr</w:t>
        </w:r>
      </w:hyperlink>
    </w:p>
    <w:p>
      <w:pPr>
        <w:numPr>
          <w:ilvl w:val="0"/>
          <w:numId w:val="22"/>
        </w:numPr>
      </w:pPr>
      <w:r>
        <w:rPr/>
        <w:t xml:space="preserve">электронная библиотека Республика Карелия </w:t>
      </w:r>
      <w:hyperlink r:id="rId13" w:history="1">
        <w:r>
          <w:rPr/>
          <w:t xml:space="preserve">http://elibrary.karelia.ru</w:t>
        </w:r>
      </w:hyperlink>
    </w:p>
    <w:p>
      <w:pPr>
        <w:numPr>
          <w:ilvl w:val="0"/>
          <w:numId w:val="22"/>
        </w:numPr>
      </w:pPr>
      <w:r>
        <w:rPr/>
        <w:t xml:space="preserve">электронная библиотечная система "Университетская библиотека онлайн"</w:t>
      </w:r>
      <w:r>
        <w:rPr/>
        <w:t xml:space="preserve"> </w:t>
      </w:r>
      <w:r>
        <w:rPr/>
        <w:t xml:space="preserve"> </w:t>
      </w:r>
      <w:hyperlink r:id="rId14" w:history="1">
        <w:r>
          <w:rPr/>
          <w:t xml:space="preserve">http://biblioclub.ru</w:t>
        </w:r>
      </w:hyperlink>
    </w:p>
    <w:p>
      <w:pPr>
        <w:numPr>
          <w:ilvl w:val="0"/>
          <w:numId w:val="22"/>
        </w:numPr>
      </w:pPr>
      <w:hyperlink r:id="rId15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22"/>
        </w:numPr>
      </w:pPr>
      <w:hyperlink r:id="rId16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22"/>
        </w:numPr>
      </w:pPr>
      <w:hyperlink r:id="rId17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22"/>
        </w:numPr>
      </w:pPr>
      <w:r>
        <w:rPr/>
        <w:t xml:space="preserve">Информационно-справочные системы</w:t>
      </w:r>
      <w:r>
        <w:rPr/>
        <w:t xml:space="preserve"> </w:t>
      </w:r>
      <w:hyperlink r:id="rId18" w:history="1">
        <w:r>
          <w:rPr/>
          <w:t xml:space="preserve">«Кодекс»</w:t>
        </w:r>
      </w:hyperlink>
      <w:r>
        <w:rPr/>
        <w:t xml:space="preserve"> </w:t>
      </w:r>
      <w:r>
        <w:rPr/>
        <w:t xml:space="preserve">и «Техэксперт»</w:t>
      </w:r>
    </w:p>
    <w:p>
      <w:pPr>
        <w:numPr>
          <w:ilvl w:val="0"/>
          <w:numId w:val="23"/>
        </w:numPr>
      </w:pPr>
      <w:hyperlink r:id="rId19" w:history="1">
        <w:r>
          <w:rPr/>
          <w:t xml:space="preserve">Министерство здравоохранения Российской Федерации (minzdrav.gov.ru)</w:t>
        </w:r>
      </w:hyperlink>
    </w:p>
    <w:p>
      <w:pPr>
        <w:numPr>
          <w:ilvl w:val="0"/>
          <w:numId w:val="23"/>
        </w:numPr>
      </w:pPr>
      <w:hyperlink r:id="rId20" w:history="1">
        <w:r>
          <w:rPr/>
  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(mchs.gov.ru)</w:t>
        </w:r>
      </w:hyperlink>
    </w:p>
    <w:p>
      <w:pPr>
        <w:numPr>
          <w:ilvl w:val="0"/>
          <w:numId w:val="23"/>
        </w:numPr>
      </w:pPr>
      <w:hyperlink r:id="rId21" w:history="1">
        <w:r>
          <w:rPr/>
          <w:t xml:space="preserve">Web-Атлас Здоровье и окружающая среда. Оглавление (aha.ru)</w:t>
        </w:r>
      </w:hyperlink>
    </w:p>
    <w:p>
      <w:pPr>
        <w:numPr>
          <w:ilvl w:val="0"/>
          <w:numId w:val="23"/>
        </w:numPr>
      </w:pPr>
      <w:hyperlink r:id="rId22" w:history="1">
        <w:r>
          <w:rPr/>
          <w:t xml:space="preserve">Журнал Безопасность жизнедеятельности (novtex.ru)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872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4C93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345B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282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3A5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3B6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A62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03B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84B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088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2BC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EFC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61A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99F4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99EE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6051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85A9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1002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D4A2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D0C6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F522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FAF8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AFC5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5BDBF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7666" TargetMode="External"/><Relationship Id="rId8" Type="http://schemas.openxmlformats.org/officeDocument/2006/relationships/hyperlink" Target="https://studme.org/1584072027375/meditsina/osnovy_meditsinskih_znaniy_i_zdorovogo_obraza_zhizni" TargetMode="External"/><Relationship Id="rId9" Type="http://schemas.openxmlformats.org/officeDocument/2006/relationships/hyperlink" Target="https://www.tspu.edu.ru/oldfiles/libserv/files/Nizkodubova_osnovi_med_znanii.pdf" TargetMode="External"/><Relationship Id="rId10" Type="http://schemas.openxmlformats.org/officeDocument/2006/relationships/hyperlink" Target="https://&#1084;&#1077;&#1076;&#1087;&#1086;&#1088;&#1090;&#1072;&#1083;.com/valeologiya_738/osnovyi-meditsinskih-znaniy-zdorovogo-obraza348.html" TargetMode="External"/><Relationship Id="rId11" Type="http://schemas.openxmlformats.org/officeDocument/2006/relationships/hyperlink" Target="https://uchebnik-online.net/book/517-osnovy-medicinskix-znanij-i-zdorovogo-obraza-zhizni-uchebnoe-posobie-gorshkov-yui/1-soderzhanie.html" TargetMode="External"/><Relationship Id="rId12" Type="http://schemas.openxmlformats.org/officeDocument/2006/relationships/hyperlink" Target="http://foliant/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Relationship Id="rId16" Type="http://schemas.openxmlformats.org/officeDocument/2006/relationships/hyperlink" Target="http://www.studmedlib.ru/" TargetMode="External"/><Relationship Id="rId17" Type="http://schemas.openxmlformats.org/officeDocument/2006/relationships/hyperlink" Target="https://www.biblio-online.ru/" TargetMode="External"/><Relationship Id="rId18" Type="http://schemas.openxmlformats.org/officeDocument/2006/relationships/hyperlink" Target="http://kodeks.karelia.ru/petrsu" TargetMode="External"/><Relationship Id="rId19" Type="http://schemas.openxmlformats.org/officeDocument/2006/relationships/hyperlink" Target="https://minzdrav.gov.ru/" TargetMode="External"/><Relationship Id="rId20" Type="http://schemas.openxmlformats.org/officeDocument/2006/relationships/hyperlink" Target="https://www.mchs.gov.ru/?ysclid=l4wmf7ht9h655124808" TargetMode="External"/><Relationship Id="rId21" Type="http://schemas.openxmlformats.org/officeDocument/2006/relationships/hyperlink" Target="http://www.sci.aha.ru/ATL/ra00.htm" TargetMode="External"/><Relationship Id="rId22" Type="http://schemas.openxmlformats.org/officeDocument/2006/relationships/hyperlink" Target="http://novtex.ru/bj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2026-04-21T09:24:21+03:00</dcterms:created>
  <dcterms:modified xsi:type="dcterms:W3CDTF">2026-04-21T09:24:21+03:00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