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Правоведение (О), Подготовка к процедуре защиты и процедура защиты ВКР (И), Экономика предприятий энергетического комплекса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Отрасли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виды источников права 2. Понятие и структура нормы права 3. Понятие и признаки правовых отношений 4. Классификация правоотношений по назначению, отраслям права, субъектному составу, характеру выполнения юридических обязанностей, составу участников и длительности 5. Соотношение категорий законности и правопорядка Контроль: анализ норм права Приложение: Шлямина. А.А. Структура нормы права: презентация с заданиями https://edu.petrsu.ru/files/upload/15780_1604676247.pdf Тестирование по теме «Источники права». Приложение: Шлямина. А.А. Источники права: электронный тест для самопроверки https://edu.petrsu.ru/object/14722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признаки государства. Теории происхождения и принципы формирования 2. Государственная власть: понятие, признаки и характеристика 3. Концепция разделения властей: происхождение и содержание 4. Определение, содержание и соотношение понятий «правовое государство» и «социальное государство» Контроль: устный опрос Приложение: Шлямина. А.А. Основы государства: теории происхождения (электронный ресурс) https://edu.petrsu.ru/object/15459 Приложение: Шлямина. А.А. Конституционное право РФ: электронный ресурс (интерактивная лекция с заданиями для самопроверки) https://edu.petrsu.ru/object/14721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признаки и состав административного проступка Содержание и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состав уголовного правонарушения (преступления) Содержание и виды уголовной ответственности Классификация уголовных наказаний Действие уголовного закона во времени, пространстве и по кругу лиц Контроль: устный опрос, разбор и анализ норм Уголовного кодекса РФ и Кодекса об административных правонарушениях РФ Уголовный кодекс Российской Федерации от 13 июня 1996 г. N 63-ФЗ https://base.garant.ru/10108000/ Кодекс Российской Федерации об административных правонарушениях / Федеральный закон от 30 декабря 2001 г. № 195-ФЗ https://base.garant.ru/12125267/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Задания к тесту в электронном ресурсе:</w:t>
      </w:r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2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2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2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2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2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2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2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2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2"/>
        </w:numPr>
      </w:pPr>
      <w:r>
        <w:rPr/>
        <w:t xml:space="preserve">Состав преступления.</w:t>
      </w:r>
    </w:p>
    <w:p>
      <w:pPr>
        <w:numPr>
          <w:ilvl w:val="0"/>
          <w:numId w:val="2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выполнение заданий самостоятельной работы.</w:t>
      </w:r>
    </w:p>
    <w:p>
      <w:pPr/>
      <w:r>
        <w:rPr/>
        <w:t xml:space="preserve">При решении задач, тестов необходимо делать соответствующие выводы.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государства и права, обеспечить системный подход к изучению отраслей права (конституционное, гражданское, трудовое, уголовное),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https://urait.ru/bcode/474695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8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 </w:t>
      </w:r>
      <w:r>
        <w:rPr/>
        <w:t xml:space="preserve">13.03.02 Электроэнергетика</w:t>
      </w:r>
      <w:r>
        <w:rPr/>
        <w:t xml:space="preserve"> размещена на Образовательном портале ПетрГУ по адресу </w:t>
      </w:r>
      <w:hyperlink r:id="rId19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0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3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6CC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0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0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08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9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482117" TargetMode="External"/><Relationship Id="rId9" Type="http://schemas.openxmlformats.org/officeDocument/2006/relationships/hyperlink" Target="https://urait.ru/bcode/472120" TargetMode="External"/><Relationship Id="rId10" Type="http://schemas.openxmlformats.org/officeDocument/2006/relationships/hyperlink" Target="https://urait.ru/bcode/470102" TargetMode="External"/><Relationship Id="rId11" Type="http://schemas.openxmlformats.org/officeDocument/2006/relationships/hyperlink" Target="https://urait.ru/bcode/468320" TargetMode="External"/><Relationship Id="rId12" Type="http://schemas.openxmlformats.org/officeDocument/2006/relationships/hyperlink" Target="https://urait.ru/bcode/474695" TargetMode="External"/><Relationship Id="rId13" Type="http://schemas.openxmlformats.org/officeDocument/2006/relationships/hyperlink" Target="https://urait.ru/bcode/496799" TargetMode="External"/><Relationship Id="rId14" Type="http://schemas.openxmlformats.org/officeDocument/2006/relationships/hyperlink" Target="https://urait.ru/bcode/477159" TargetMode="External"/><Relationship Id="rId15" Type="http://schemas.openxmlformats.org/officeDocument/2006/relationships/hyperlink" Target="https://urait.ru/bcode/496674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2026-04-21T00:03:27+03:00</dcterms:created>
  <dcterms:modified xsi:type="dcterms:W3CDTF">2026-04-21T00:03:27+03:00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