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ПО РИСУНКУ</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Ерохина Ольга Дмитриевна, старший преподаватель, кафедра технологии, изобразительного искусства и дизайна.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О.И. Кулагин, доктор исторических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технологическая</w:t>
      </w:r>
    </w:p>
    <w:p>
      <w:pPr>
        <w:jc w:val="numTab"/>
        <w:spacing w:before="280" w:after="280"/>
      </w:pPr>
      <w:r>
        <w:rPr>
          <w:b w:val="1"/>
          <w:bCs w:val="1"/>
        </w:rPr>
        <w:t xml:space="preserve">3. Цели практики</w:t>
      </w:r>
    </w:p>
    <w:p>
      <w:pPr/>
      <w:r>
        <w:rPr/>
        <w:t xml:space="preserve">Формировать у студентов знания, умения и навыки по рисунку</w:t>
      </w:r>
      <w:r>
        <w:rPr/>
        <w:t xml:space="preserve"> </w:t>
      </w:r>
    </w:p>
    <w:p>
      <w:pPr>
        <w:jc w:val="numTab"/>
        <w:spacing w:before="280" w:after="280"/>
      </w:pPr>
      <w:r>
        <w:rPr>
          <w:b w:val="1"/>
          <w:bCs w:val="1"/>
        </w:rPr>
        <w:t xml:space="preserve">4. Задачи практики</w:t>
      </w:r>
    </w:p>
    <w:p>
      <w:pPr>
        <w:numPr>
          <w:ilvl w:val="0"/>
          <w:numId w:val="1"/>
        </w:numPr>
      </w:pPr>
      <w:r>
        <w:rPr/>
        <w:t xml:space="preserve">Приобретение знаний и развитие умений и навыков практической работы графическими материалами</w:t>
      </w:r>
    </w:p>
    <w:p>
      <w:pPr>
        <w:numPr>
          <w:ilvl w:val="0"/>
          <w:numId w:val="1"/>
        </w:numPr>
      </w:pPr>
      <w:r>
        <w:rPr/>
        <w:t xml:space="preserve">Развитие навыков самостоятельной работы, умения ставить творческие задачи.</w:t>
      </w:r>
    </w:p>
    <w:p>
      <w:pPr>
        <w:numPr>
          <w:ilvl w:val="0"/>
          <w:numId w:val="1"/>
        </w:numPr>
      </w:pPr>
      <w:r>
        <w:rPr/>
        <w:t xml:space="preserve">Проверка готовности студентов к самостоятельной трудовой деятельности.</w:t>
      </w:r>
    </w:p>
    <w:p>
      <w:pPr>
        <w:numPr>
          <w:ilvl w:val="0"/>
          <w:numId w:val="1"/>
        </w:numPr>
      </w:pPr>
      <w:r>
        <w:rPr/>
        <w:t xml:space="preserve">Определение уровня сформированности профессиональных и общих компетенций у будущего учителя.</w:t>
      </w:r>
    </w:p>
    <w:p>
      <w:pPr>
        <w:jc w:val="numTab"/>
        <w:spacing w:before="280" w:after="280"/>
      </w:pPr>
      <w:r>
        <w:rPr>
          <w:b w:val="1"/>
          <w:bCs w:val="1"/>
        </w:rPr>
        <w:t xml:space="preserve">5. Способы, формы и возможные места проведения практики</w:t>
      </w:r>
    </w:p>
    <w:p>
      <w:pPr/>
      <w:r>
        <w:rPr/>
        <w:t xml:space="preserve">Учебная практика по рисунку </w:t>
      </w:r>
      <w:r>
        <w:rPr/>
        <w:t xml:space="preserve"> </w:t>
      </w:r>
      <w:r>
        <w:rPr/>
        <w:t xml:space="preserve">является стационарной. Проводится в лабораториях вуза.</w:t>
      </w:r>
    </w:p>
    <w:p>
      <w:pPr/>
      <w:r>
        <w:rPr/>
        <w:t xml:space="preserve"> </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Живопись (НО), Рисунок (НО), История изобразительного искусства (НО),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Методика обучения и воспитания изобразительному искусcтву (О), Методика обучения мировой художественной культуре (О), Скульптура (О), Выполнение и защита выпускной квалификационной работы (И), Учебная практика по скульптуре (О), Преддипломная практика (И), Учебная практика по рисунку (О), Учебная практика по живописи (О), Научно-исследовательская работа (курсовое сочинение) (О), Возрастная психология (О), Педагогическая психология (О), Педагогическая практика (О), Теория  и история литературы (О), Теория и история театра и кино (И), Теория и история музыки (И), Методика дипломного проектирования (И), Цветоведение (Н), Подготовка к сдаче и сдача государственного экзамена (И), Композиция (НО).</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5000" w:type="dxa"/>
            <w:noWrap/>
          </w:tcPr>
          <w:p>
            <w:pPr>
              <w:jc w:val="numTab"/>
              <w:ind w:left="0" w:right="0" w:firstLine="0" w:hanging="0"/>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
ПК-1.2 Умение организовывать индивидуальную и совместную учебно-проектную деятельность обучающихся в предметной области Изобразительное искусство
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Способен владеть навыками линейно-конструктивного построения и основами рисунка, живописи; элементарными профессиональными навыками скульптора; современной шрифтовой культурой; приемами работы в макетировании и моделировании; приемами работы с цветом и цветовыми композициями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Живопись (НО), Рисунок (НО), Скульптура (О), Выполнение и защита выпускной квалификационной работы (И), Учебная практика по скульптуре (О), Учебная практика по рисунку (О), Учебная практика по живописи (О), Научно-исследовательская работа (курсовое сочинение) (О), Пластическая анатомия (О), Основы черчения и перспективы в изобразительном искусстве (НО), Линогравюра (О), Цветоведение (Н), Учебная практика по специализированному рисунку (ОИ), Учебно-творческая практика (пленэр) (О), Подготовка к сдаче и сдача государственного экзамена (И), Композиция (НО).</w:t>
            </w:r>
          </w:p>
        </w:tc>
        <w:tc>
          <w:tcPr>
            <w:tcW w:w="5000" w:type="dxa"/>
            <w:noWrap/>
          </w:tcPr>
          <w:p>
            <w:pPr>
              <w:jc w:val="numTab"/>
              <w:ind w:left="0" w:right="0" w:firstLine="0" w:hanging="0"/>
            </w:pPr>
            <w:r>
              <w:rPr/>
              <w:t xml:space="preserve">ПК-3.1 Знание способов линейно-конструктивного построения, основ рисунка, живописи; элементарных профессиональных навыков скульптора; современной шрифтовой культуры; приемов работы в макетировании и моделировании; приемов работы с цветом и цветовыми композициям.
ПК-3.2 Уметь использовать основные изобразительные и выразительные средства рисунка: линию, штрих, пятно, изобразительное пространство, линейную перспективу; передавать образ  объекта  в иллюзорном пространстве; элементарные профессиональные навыки скульптора, применять на практике знания основ пластической анатомии; современную шрифтовую  культуру; приемы работы в макетировании и моделировании; приемы работы с цветом и цветовыми композициями.
ПК-3.3 Владеть навыками линейно-конструктивного построения и основами рисунка, живописи; элементарными профессиональными навыками скульптора; современной шрифтовой культурой; приемами работы в макетировании и моделировании; приемами работы с цветом и цветовыми композициями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по рисунку"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Гипсовая голова</w:t>
            </w:r>
          </w:p>
        </w:tc>
        <w:tc>
          <w:tcPr>
            <w:noWrap/>
          </w:tcPr>
          <w:p>
            <w:pPr>
              <w:jc w:val="left"/>
              <w:ind w:left="0" w:right="0" w:firstLine="0" w:hanging="0"/>
            </w:pPr>
            <w:r>
              <w:rPr/>
              <w:t xml:space="preserve">108</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Зачет; Просмотр (обход)</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Изображение черепа в анфас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Изображение черепа в профиль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Изображение черепа в три четверти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Наброски фигуры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Рисунок анатомической головы – экорше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Рисунок гипсовой маски с классического образца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Рисунок гипсовой головы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center"/>
      </w:pPr>
      <w:r>
        <w:rPr>
          <w:b w:val="1"/>
          <w:bCs w:val="1"/>
        </w:rPr>
        <w:t xml:space="preserve">Содержание практических занятий</w:t>
      </w:r>
    </w:p>
    <w:tbl>
      <w:tblGrid>
        <w:gridCol/>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extDirection w:val="btLr"/>
            <w:noWrap/>
          </w:tcPr>
          <w:p>
            <w:pPr>
              <w:jc w:val="center"/>
            </w:pPr>
            <w:r>
              <w:rPr/>
              <w:t xml:space="preserve">№ занятия</w:t>
            </w:r>
          </w:p>
        </w:tc>
        <w:tc>
          <w:tcPr>
            <w:tcW w:w="10000" w:type="dxa"/>
            <w:vAlign w:val="center"/>
            <w:noWrap/>
          </w:tcPr>
          <w:p>
            <w:pPr>
              <w:jc w:val="center"/>
              <w:ind w:left="0" w:right="0" w:firstLine="0" w:hanging="0"/>
            </w:pPr>
            <w:r>
              <w:rPr/>
              <w:t xml:space="preserve">Основное содержание</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tcW w:w="10000" w:type="dxa"/>
            <w:noWrap/>
          </w:tcPr>
          <w:p>
            <w:pPr>
              <w:jc w:val="left"/>
              <w:ind w:left="0" w:right="0" w:firstLine="0" w:hanging="0"/>
            </w:pPr>
            <w:r>
              <w:rPr/>
              <w:t xml:space="preserve">Изображение черепа в анфас</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tcW w:w="10000" w:type="dxa"/>
            <w:noWrap/>
          </w:tcPr>
          <w:p>
            <w:pPr>
              <w:jc w:val="left"/>
              <w:ind w:left="0" w:right="0" w:firstLine="0" w:hanging="0"/>
            </w:pPr>
            <w:r>
              <w:rPr/>
              <w:t xml:space="preserve">Изображение черепа в профиль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tcW w:w="10000" w:type="dxa"/>
            <w:noWrap/>
          </w:tcPr>
          <w:p>
            <w:pPr>
              <w:jc w:val="left"/>
              <w:ind w:left="0" w:right="0" w:firstLine="0" w:hanging="0"/>
            </w:pPr>
            <w:r>
              <w:rPr/>
              <w:t xml:space="preserve">Изображение черепа в три четверти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tcW w:w="10000" w:type="dxa"/>
            <w:noWrap/>
          </w:tcPr>
          <w:p>
            <w:pPr>
              <w:jc w:val="left"/>
              <w:ind w:left="0" w:right="0" w:firstLine="0" w:hanging="0"/>
            </w:pPr>
            <w:r>
              <w:rPr/>
              <w:t xml:space="preserve">Наброски фигуры человека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tcW w:w="10000" w:type="dxa"/>
            <w:noWrap/>
          </w:tcPr>
          <w:p>
            <w:pPr>
              <w:jc w:val="left"/>
              <w:ind w:left="0" w:right="0" w:firstLine="0" w:hanging="0"/>
            </w:pPr>
            <w:r>
              <w:rPr/>
              <w:t xml:space="preserve">Рисунок анатомической головы – экорше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tcW w:w="10000" w:type="dxa"/>
            <w:noWrap/>
          </w:tcPr>
          <w:p>
            <w:pPr>
              <w:jc w:val="left"/>
              <w:ind w:left="0" w:right="0" w:firstLine="0" w:hanging="0"/>
            </w:pPr>
            <w:r>
              <w:rPr/>
              <w:t xml:space="preserve">Рисунок гипсовой маски с классического образца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tcW w:w="10000" w:type="dxa"/>
            <w:noWrap/>
          </w:tcPr>
          <w:p>
            <w:pPr>
              <w:jc w:val="left"/>
              <w:ind w:left="0" w:right="0" w:firstLine="0" w:hanging="0"/>
            </w:pPr>
            <w:r>
              <w:rPr/>
              <w:t xml:space="preserve">Рисунок гипсовой головы</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При освоении дисциплины используются следующие образовательные технологии:</w:t>
      </w:r>
      <w:r>
        <w:rPr/>
        <w:t xml:space="preserve"> </w:t>
      </w:r>
      <w:r>
        <w:rPr/>
        <w:t xml:space="preserve">выполнение набросков, зарисовок, длительных рисунков с натуры; копирование рисунков мастеров; изучение учебников , методических пособий по рисунку; посещение выставок художников; участие в творческих проектах</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Для успешного овладения рисунком необходимо посещение всех аудиторных занятий, предусмотренных учебной программой.</w:t>
      </w:r>
    </w:p>
    <w:p>
      <w:pPr/>
      <w:r>
        <w:rPr/>
        <w:t xml:space="preserve">Самостоятельная работа студента выполняется в соответствии с программой и направлена на изучение и закрепление полученных</w:t>
      </w:r>
      <w:r>
        <w:rPr/>
        <w:t xml:space="preserve"> </w:t>
      </w:r>
      <w:r>
        <w:rPr/>
        <w:t xml:space="preserve"> на занятиях в аудитории понятий, а также выполнение на их основе практических работ - рисунков, носит творческий характер. Каждая аудиторная работа имеет </w:t>
      </w:r>
      <w:r>
        <w:rPr/>
        <w:t xml:space="preserve"> </w:t>
      </w:r>
      <w:r>
        <w:rPr/>
        <w:t xml:space="preserve">самостоятельную работу. </w:t>
      </w:r>
      <w:r>
        <w:rPr/>
        <w:t xml:space="preserve"> </w:t>
      </w:r>
      <w:r>
        <w:rPr/>
        <w:t xml:space="preserve">Самостоятельно выполненные</w:t>
      </w:r>
      <w:r>
        <w:rPr/>
        <w:t xml:space="preserve"> </w:t>
      </w:r>
      <w:r>
        <w:rPr/>
        <w:t xml:space="preserve"> работы показываются преподавателю индивидуально с целью их уточнения в процессе</w:t>
      </w:r>
      <w:r>
        <w:rPr/>
        <w:t xml:space="preserve"> </w:t>
      </w:r>
      <w:r>
        <w:rPr/>
        <w:t xml:space="preserve"> выполнения.</w:t>
      </w:r>
    </w:p>
    <w:p>
      <w:pPr/>
      <w:r>
        <w:rPr/>
        <w:t xml:space="preserve">В конце семестра все выполненные студентом работы: и аудиторные, и домашние </w:t>
      </w:r>
      <w:r>
        <w:rPr/>
        <w:t xml:space="preserve"> </w:t>
      </w:r>
      <w:r>
        <w:rPr/>
        <w:t xml:space="preserve">-</w:t>
      </w:r>
      <w:r>
        <w:rPr/>
        <w:t xml:space="preserve"> </w:t>
      </w:r>
      <w:r>
        <w:rPr/>
        <w:t xml:space="preserve"> предоставляются на промежуточную аттестацию. На итоговом просмотре должны быть представлены все задания программы. На результаты итогового просмотра оказывает влияние</w:t>
      </w:r>
      <w:r>
        <w:rPr/>
        <w:t xml:space="preserve"> </w:t>
      </w:r>
      <w:r>
        <w:rPr/>
        <w:t xml:space="preserve"> их количество и качество исполнения.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просмотр (обход).</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Просмотр (обход)</w:t>
      </w:r>
    </w:p>
    <w:p>
      <w:pPr/>
      <w:r>
        <w:rPr/>
        <w:t xml:space="preserve">Текущий контроль осуществляется преподавателем дисциплины при проведении занятий в форме: просмотр (обход).</w:t>
      </w:r>
    </w:p>
    <w:p>
      <w:pPr/>
      <w:r>
        <w:rPr/>
        <w:t xml:space="preserve">Оценочные средства для текущего контроля.</w:t>
      </w:r>
    </w:p>
    <w:p>
      <w:pPr/>
      <w:r>
        <w:rPr>
          <w:b w:val="1"/>
          <w:bCs w:val="1"/>
        </w:rPr>
        <w:t xml:space="preserve">Просмотр (обход)</w:t>
      </w:r>
    </w:p>
    <w:p>
      <w:pPr/>
      <w:r>
        <w:rPr/>
        <w:t xml:space="preserve">Компоновка рисунка на плоскости листа.</w:t>
      </w:r>
    </w:p>
    <w:p>
      <w:pPr/>
      <w:r>
        <w:rPr/>
        <w:t xml:space="preserve">Передача особенностей большой формы головы.</w:t>
      </w:r>
    </w:p>
    <w:p>
      <w:pPr/>
      <w:r>
        <w:rPr/>
        <w:t xml:space="preserve">Конструктивное выявление формы деталей</w:t>
      </w:r>
    </w:p>
    <w:p>
      <w:pPr/>
      <w:r>
        <w:rPr/>
        <w:t xml:space="preserve">Выявление формы </w:t>
      </w:r>
      <w:r>
        <w:rPr/>
        <w:t xml:space="preserve"> </w:t>
      </w:r>
      <w:r>
        <w:rPr/>
        <w:t xml:space="preserve">головы и композиции листа тоном.</w:t>
      </w:r>
    </w:p>
    <w:p>
      <w:pPr/>
      <w:r>
        <w:rPr/>
        <w:t xml:space="preserve">Качество</w:t>
      </w:r>
      <w:r>
        <w:rPr/>
        <w:t xml:space="preserve"> </w:t>
      </w:r>
      <w:r>
        <w:rPr/>
        <w:t xml:space="preserve"> использования карандаша в рисунке гипсовой головы.</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Промежуточная аттестация проводится в виде: зачет.</w:t>
      </w:r>
    </w:p>
    <w:p>
      <w:pPr/>
      <w:r>
        <w:rPr/>
        <w:t xml:space="preserve">Оценочные средства для промежуточного контроля.</w:t>
      </w:r>
    </w:p>
    <w:p>
      <w:pPr/>
      <w:r>
        <w:rPr>
          <w:b w:val="1"/>
          <w:bCs w:val="1"/>
        </w:rPr>
        <w:t xml:space="preserve">Зачет</w:t>
      </w:r>
    </w:p>
    <w:p>
      <w:pPr/>
      <w:r>
        <w:rPr/>
        <w:t xml:space="preserve">Определение достоинств и недостатков выполненных рисунков и вынесение решения о выставлении итоговой оценки в виде</w:t>
      </w:r>
      <w:r>
        <w:rPr/>
        <w:t xml:space="preserve"> </w:t>
      </w:r>
      <w:r>
        <w:rPr/>
        <w:t xml:space="preserve"> зачета (незачета).</w:t>
      </w:r>
    </w:p>
    <w:p>
      <w:pPr/>
      <w:r>
        <w:rPr/>
        <w:t xml:space="preserve">Критерии оценивания:</w:t>
      </w:r>
      <w:r>
        <w:rPr/>
        <w:t xml:space="preserve"> </w:t>
      </w:r>
    </w:p>
    <w:p>
      <w:pPr/>
      <w:r>
        <w:rPr/>
        <w:t xml:space="preserve">Качество компоновки рисунка на плоскости листа.</w:t>
      </w:r>
    </w:p>
    <w:p>
      <w:pPr/>
      <w:r>
        <w:rPr/>
        <w:t xml:space="preserve">Качество передачи особенностей большой формы головы.</w:t>
      </w:r>
    </w:p>
    <w:p>
      <w:pPr/>
      <w:r>
        <w:rPr/>
        <w:t xml:space="preserve">Качество конструктивного выявления формы деталей</w:t>
      </w:r>
    </w:p>
    <w:p>
      <w:pPr/>
      <w:r>
        <w:rPr/>
        <w:t xml:space="preserve">Качество выявления формы </w:t>
      </w:r>
      <w:r>
        <w:rPr/>
        <w:t xml:space="preserve"> </w:t>
      </w:r>
      <w:r>
        <w:rPr/>
        <w:t xml:space="preserve">головы и композиции листа тоном.</w:t>
      </w:r>
    </w:p>
    <w:p>
      <w:pPr/>
      <w:r>
        <w:rPr/>
        <w:t xml:space="preserve">Качество</w:t>
      </w:r>
      <w:r>
        <w:rPr/>
        <w:t xml:space="preserve"> </w:t>
      </w:r>
      <w:r>
        <w:rPr/>
        <w:t xml:space="preserve"> использования карандаша.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2"/>
        </w:numPr>
      </w:pPr>
      <w:r>
        <w:rPr/>
        <w:t xml:space="preserve">Кузин, В. С. Рисунок. Наброски и зарисовки : учебное пособие для студентов учреждений высшего профессионального образования, обучающихся по направлению подготовки "Педагогическое образование" (профиль "изобразительное искусство") / В. С. Кузин. - 2-е изд., стер. - Москва : Академия, 2013. - 231 с. : ил. ; 29 см. - (Высшее профессиональное образование). - Библиография: с. 230.</w:t>
      </w:r>
    </w:p>
    <w:p>
      <w:pPr>
        <w:numPr>
          <w:ilvl w:val="0"/>
          <w:numId w:val="2"/>
        </w:numPr>
      </w:pPr>
      <w:r>
        <w:rPr/>
        <w:t xml:space="preserve">Ли, Н. Г. Голова человека : основы учебного академического рисунка : [учебник] / Николай Ли. - Москва : Эксмо, 2009. - 263 с. : ил. ; 29 см. - (Классическая библиотека художника). - Прил.: с. 218-260. - Библиогр.: с. 261.</w:t>
      </w:r>
    </w:p>
    <w:p>
      <w:pPr>
        <w:numPr>
          <w:ilvl w:val="0"/>
          <w:numId w:val="2"/>
        </w:numPr>
      </w:pPr>
      <w:r>
        <w:rPr/>
        <w:t xml:space="preserve">Ли, Н. Г. Основы учебного академического рисунка : учебник для студентов вузов, обучающихся по спец. 070603 "Искусство интерьера", 27031 "Архитектура" и др. / Николай Ли. - Москва : ЭКСМО, 2008. - 480 с. : ил. ; 28 см. - Библиогр.: с. 477.</w:t>
      </w:r>
    </w:p>
    <w:p>
      <w:pPr>
        <w:jc w:val="numTab"/>
        <w:spacing w:before="280" w:after="280"/>
      </w:pPr>
      <w:r>
        <w:rPr/>
        <w:t xml:space="preserve">14.2. Дополнительная литература:</w:t>
      </w:r>
    </w:p>
    <w:tbl>
      <w:tblGrid>
        <w:gridCol/>
      </w:tblGrid>
      <w:tblPr>
        <w:tblW w:w="0" w:type="auto"/>
        <w:tblLayout w:type="autofit"/>
      </w:tblPr>
      <w:tr>
        <w:trPr/>
        <w:tc>
          <w:tcPr>
            <w:noWrap/>
          </w:tcPr>
          <w:p>
            <w:pPr/>
            <w:r>
              <w:rPr/>
              <w:t xml:space="preserve">Беда, Г. В. Основы изобразительной грамоты / Г. В. Беда. - Москва : Просвещение, 1989. - 191 с. : ил. ; 22 см. - (Библиотека учителя изобразительного искусства). - Библиогр.: с. 190. - </w:t>
            </w:r>
            <w:r>
              <w:rPr/>
              <w:t xml:space="preserve">ISBN</w:t>
            </w:r>
            <w:r>
              <w:rPr/>
              <w:t xml:space="preserve"> 5-09-000990-2</w:t>
            </w:r>
            <w:hyperlink r:id="rId7" w:history="1">
              <w:r>
                <w:rPr/>
                <w:t xml:space="preserve">  </w:t>
              </w:r>
            </w:hyperlink>
          </w:p>
        </w:tc>
      </w:tr>
    </w:tbl>
    <w:p>
      <w:pPr/>
      <w:r>
        <w:rPr/>
        <w:t xml:space="preserve"> </w:t>
      </w:r>
    </w:p>
    <w:tbl>
      <w:tblGrid>
        <w:gridCol/>
      </w:tblGrid>
      <w:tblPr>
        <w:tblW w:w="0" w:type="auto"/>
        <w:tblLayout w:type="autofit"/>
      </w:tblPr>
      <w:tr>
        <w:trPr/>
        <w:tc>
          <w:tcPr>
            <w:noWrap/>
          </w:tcPr>
          <w:p>
            <w:pPr/>
            <w:r>
              <w:rPr/>
              <w:t xml:space="preserve"> </w:t>
            </w:r>
            <w:r>
              <w:rPr/>
              <w:t xml:space="preserve">Хамм, Д. Как рисовать голову и фигуру человека : [более тысячи пошаговых упражнений помогут вам научиться рисовать человека] / Джек Хамм ; [пер. с англ. А. В. Жабцев]. - [5-е изд.]. - Минск : Попурри, 2008. - 126 с. : ил. ; 28 см. - (Школа рисования). - </w:t>
            </w:r>
            <w:r>
              <w:rPr/>
              <w:t xml:space="preserve">ISBN</w:t>
            </w:r>
            <w:r>
              <w:rPr/>
              <w:t xml:space="preserve"> 0-399-50791-4. - </w:t>
            </w:r>
            <w:r>
              <w:rPr/>
              <w:t xml:space="preserve">ISBN</w:t>
            </w:r>
            <w:r>
              <w:rPr/>
              <w:t xml:space="preserve"> 978-985-15-0526-1</w:t>
            </w:r>
            <w:hyperlink r:id="rId8" w:history="1">
              <w:r>
                <w:rPr/>
                <w:t xml:space="preserve">  </w:t>
              </w:r>
            </w:hyperlink>
          </w:p>
        </w:tc>
      </w:tr>
    </w:tbl>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numPr>
          <w:ilvl w:val="0"/>
          <w:numId w:val="3"/>
        </w:numPr>
      </w:pPr>
      <w:r>
        <w:rPr/>
        <w:t xml:space="preserve">Единая коллекция цифровых образовательных ресурсов [Электронный ресурс] / </w:t>
      </w:r>
      <w:r>
        <w:rPr/>
        <w:t xml:space="preserve">MTI</w:t>
      </w:r>
      <w:r>
        <w:rPr/>
        <w:t xml:space="preserve">. </w:t>
      </w:r>
      <w:r>
        <w:rPr/>
        <w:t xml:space="preserve">URL: http://school-collection.edu.ru/</w:t>
      </w:r>
    </w:p>
    <w:p>
      <w:pPr>
        <w:numPr>
          <w:ilvl w:val="0"/>
          <w:numId w:val="3"/>
        </w:numPr>
      </w:pPr>
      <w:r>
        <w:rPr/>
        <w:t xml:space="preserve">Электронный каталог Научной библиотеки ПетрГУ </w:t>
      </w:r>
      <w:r>
        <w:rPr/>
        <w:t xml:space="preserve">http</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p>
    <w:p>
      <w:pPr>
        <w:numPr>
          <w:ilvl w:val="0"/>
          <w:numId w:val="3"/>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3"/>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3"/>
        </w:numPr>
      </w:pPr>
      <w:r>
        <w:rPr/>
        <w:t xml:space="preserve">Российский общеобразовательный портал // </w:t>
      </w:r>
      <w:r>
        <w:rPr/>
        <w:t xml:space="preserve">http</w:t>
      </w:r>
      <w:r>
        <w:rPr/>
        <w:t xml:space="preserve">://</w:t>
      </w:r>
      <w:r>
        <w:rPr/>
        <w:t xml:space="preserve">www</w:t>
      </w:r>
      <w:r>
        <w:rPr/>
        <w:t xml:space="preserve">.</w:t>
      </w:r>
      <w:r>
        <w:rPr/>
        <w:t xml:space="preserve">school</w:t>
      </w:r>
      <w:r>
        <w:rPr/>
        <w:t xml:space="preserve">.</w:t>
      </w:r>
      <w:r>
        <w:rPr/>
        <w:t xml:space="preserve">edu</w:t>
      </w:r>
      <w:r>
        <w:rPr/>
        <w:t xml:space="preserve">.</w:t>
      </w:r>
      <w:r>
        <w:rPr/>
        <w:t xml:space="preserve">ru</w:t>
      </w:r>
      <w:r>
        <w:rPr/>
        <w:t xml:space="preserve">/</w:t>
      </w:r>
    </w:p>
    <w:p>
      <w:pPr>
        <w:numPr>
          <w:ilvl w:val="0"/>
          <w:numId w:val="3"/>
        </w:numPr>
      </w:pPr>
      <w:r>
        <w:rPr/>
        <w:t xml:space="preserve"> Справочная правовая информационная система «КонсультантПлюс».//</w:t>
      </w:r>
      <w:hyperlink r:id="rId10" w:history="1">
        <w:r>
          <w:rPr/>
          <w:t xml:space="preserve">http://www.consultant.ru/</w:t>
        </w:r>
      </w:hyperlink>
      <w:r>
        <w:rPr/>
        <w:t xml:space="preserve"> (открытый ресурс).</w:t>
      </w:r>
    </w:p>
    <w:p>
      <w:pPr>
        <w:jc w:val="numTab"/>
        <w:spacing w:before="280" w:after="280"/>
      </w:pPr>
      <w:r>
        <w:rPr>
          <w:b w:val="1"/>
          <w:bCs w:val="1"/>
        </w:rPr>
        <w:t xml:space="preserve">15. Материально-техническое обеспечение практики</w:t>
      </w:r>
    </w:p>
    <w:sectPr>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99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8DD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26D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67B7B2" TargetMode="External"/><Relationship Id="rId8" Type="http://schemas.openxmlformats.org/officeDocument/2006/relationships/hyperlink" Target="http://foliant.ru/catalog/psulibr?SHOW_ONE_BOOK+569833" TargetMode="External"/><Relationship Id="rId9" Type="http://schemas.openxmlformats.org/officeDocument/2006/relationships/hyperlink" Target="http://biblioclub.ru/" TargetMode="External"/><Relationship Id="rId10" Type="http://schemas.openxmlformats.org/officeDocument/2006/relationships/hyperlink" Target="http://www.consultant.ru/" TargetMode="External"/><Relationship Id="rId1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2026-04-21T09:25:21+03:00</dcterms:created>
  <dcterms:modified xsi:type="dcterms:W3CDTF">2026-04-21T09:25:21+03:00</dcterms:modified>
</cp:coreProperties>
</file>

<file path=docProps/custom.xml><?xml version="1.0" encoding="utf-8"?>
<Properties xmlns="http://schemas.openxmlformats.org/officeDocument/2006/custom-properties" xmlns:vt="http://schemas.openxmlformats.org/officeDocument/2006/docPropsVTypes"/>
</file>