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РУССКОЕ ИСКУССТВО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Фрейман Екатерина Ильинична.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Русское искусство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типографики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40</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типографики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сведения о содержании курса. История шрифта.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Семантико-эстетическое назначение шрифт. Анатомия буквы и структура шрифта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в материале. Композиция «Выразительные возможности  шрифтовой графики», 30х30, см.техника, цвет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Макет шрифтового плаката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b w:val="1"/>
          <w:bCs w:val="1"/>
        </w:rPr>
        <w:t xml:space="preserve">Творческие Задания:</w:t>
      </w:r>
      <w:r>
        <w:rPr/>
        <w:t xml:space="preserve"> Проектирование рекламных баннеров, книг, журналов, листовок и других изделий, требующих хорошего владения типографическими приемами.</w:t>
      </w:r>
    </w:p>
    <w:p>
      <w:pPr>
        <w:numPr>
          <w:ilvl w:val="0"/>
          <w:numId w:val="1"/>
        </w:numPr>
      </w:pPr>
      <w:r>
        <w:rPr>
          <w:b w:val="1"/>
          <w:bCs w:val="1"/>
        </w:rPr>
        <w:t xml:space="preserve">Конкурсные Работы:</w:t>
      </w:r>
      <w:r>
        <w:rPr/>
        <w:t xml:space="preserve"> Участие в студенческих конкурсах и олимпиадах по типографике, предоставление возможности показать свои навыки и творческий потенциал.</w:t>
      </w:r>
    </w:p>
    <w:p>
      <w:pPr>
        <w:numPr>
          <w:ilvl w:val="0"/>
          <w:numId w:val="1"/>
        </w:numPr>
      </w:pPr>
      <w:r>
        <w:rPr>
          <w:b w:val="1"/>
          <w:bCs w:val="1"/>
        </w:rPr>
        <w:t xml:space="preserve">Индивидуальная Консультация:</w:t>
      </w:r>
      <w:r>
        <w:rPr/>
        <w:t xml:space="preserve"> Индивидуальная помощь преподавателей по улучшению проектов и развитию индивидуальных стилевых предпочтений.</w:t>
      </w:r>
    </w:p>
    <w:p>
      <w:pPr>
        <w:numPr>
          <w:ilvl w:val="0"/>
          <w:numId w:val="1"/>
        </w:numPr>
      </w:pPr>
      <w:r>
        <w:rPr>
          <w:b w:val="1"/>
          <w:bCs w:val="1"/>
        </w:rPr>
        <w:t xml:space="preserve">Решение Реальных Задач:</w:t>
      </w:r>
      <w:r>
        <w:rPr/>
        <w:t xml:space="preserve"> Постановка перед студентами конкретных проблемных ситуаций, решение которых требует глубокого погружения в теорию и практику типографики.</w:t>
      </w:r>
    </w:p>
    <w:p>
      <w:pPr>
        <w:numPr>
          <w:ilvl w:val="0"/>
          <w:numId w:val="1"/>
        </w:numPr>
      </w:pPr>
      <w:r>
        <w:rPr>
          <w:b w:val="1"/>
          <w:bCs w:val="1"/>
        </w:rPr>
        <w:t xml:space="preserve">Кейс-метод:</w:t>
      </w:r>
      <w:r>
        <w:rPr/>
        <w:t xml:space="preserve"> Анализ успешных кейсов типографического дизайна, выявление преимуществ и недостатков выбранных решений.</w:t>
      </w:r>
    </w:p>
    <w:p>
      <w:pPr>
        <w:numPr>
          <w:ilvl w:val="0"/>
          <w:numId w:val="1"/>
        </w:numPr>
      </w:pPr>
      <w:r>
        <w:rPr>
          <w:b w:val="1"/>
          <w:bCs w:val="1"/>
        </w:rPr>
        <w:t xml:space="preserve">Работа в Командах:</w:t>
      </w:r>
      <w:r>
        <w:rPr/>
        <w:t xml:space="preserve"> Сотрудничество в малых группах для реализации коллективных проектов, направленных на достижение оптимального сочетания текста и графики.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Задачи дисциплины заключаются в следующем:</w:t>
      </w:r>
    </w:p>
    <w:p>
      <w:pPr>
        <w:numPr>
          <w:ilvl w:val="0"/>
          <w:numId w:val="2"/>
        </w:numPr>
      </w:pPr>
      <w:r>
        <w:rPr/>
        <w:t xml:space="preserve">Изучить ключевые концепции и категории типографики,</w:t>
      </w:r>
    </w:p>
    <w:p>
      <w:pPr>
        <w:numPr>
          <w:ilvl w:val="0"/>
          <w:numId w:val="2"/>
        </w:numPr>
      </w:pPr>
      <w:r>
        <w:rPr/>
        <w:t xml:space="preserve">Ознакомиться с многообразием шрифтов и способов их классификации,</w:t>
      </w:r>
    </w:p>
    <w:p>
      <w:pPr>
        <w:numPr>
          <w:ilvl w:val="0"/>
          <w:numId w:val="2"/>
        </w:numPr>
      </w:pPr>
      <w:r>
        <w:rPr/>
        <w:t xml:space="preserve">Научиться правильно оформлять заголовки, абзацы и списки,</w:t>
      </w:r>
    </w:p>
    <w:p>
      <w:pPr>
        <w:numPr>
          <w:ilvl w:val="0"/>
          <w:numId w:val="2"/>
        </w:numPr>
      </w:pPr>
      <w:r>
        <w:rPr/>
        <w:t xml:space="preserve">Овладеть навыками отбора и сочетания шрифтов,</w:t>
      </w:r>
    </w:p>
    <w:p>
      <w:pPr>
        <w:numPr>
          <w:ilvl w:val="0"/>
          <w:numId w:val="2"/>
        </w:numPr>
      </w:pPr>
      <w:r>
        <w:rPr/>
        <w:t xml:space="preserve">Освоить методики проверки читабельности и эффективности типографических решений.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«Типографика и шрифт» способствует развитию творческих способностей студентов, предусматривает приобретение специальных знаний, умений и навыков. В основу положен принцип единства теории и практики, который является необходимым условием подготовки бакалавров по профилю «Изобразительное искусство». Изучению практического курса дисциплины предшествуют лекции, в которых рассматриваются основополагающие понятия. При освоении курса типографики и шрифта необходимо максимально использовать технические средства и наглядно-демонстрационный материал (аналоговые ряды, репродукции и интернет - ресурсы). Применение их в учебном процессе значительно повышает эффективность занятий и вместе с тем способствует выработке у будущих учителей навыков использования технических средств и наглядно-демонстрационного материала в школьной практике. Каждый студент в ходе изучения данного курса должен выполнить и защитить свои  практические работы.</w:t>
      </w:r>
    </w:p>
    <w:p>
      <w:pPr/>
      <w:r>
        <w:rPr/>
        <w:t xml:space="preserve">Текущий контроль и промежуточная аттестация студентов проводится по результатам реферата и работ, выполненных в материале.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r>
        <w:rPr/>
        <w:t xml:space="preserve">Добровинский Е. Буквомузыка // Шрифт в айдентике, рекламе, многостраничниках, упаковке, навигации, вебе и каллиграфия. – М.:КАК проект, 2015</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Королькова А. Живая типографика. М., IndexMarket, 2007</w:t>
      </w:r>
    </w:p>
    <w:p>
      <w:pPr>
        <w:numPr>
          <w:ilvl w:val="0"/>
          <w:numId w:val="3"/>
        </w:numPr>
      </w:pPr>
      <w:r>
        <w:rPr/>
        <w:t xml:space="preserve">Э. Рудер. Типографика. Руководство по оформлению. М.Книга, 1988 г.</w:t>
      </w:r>
    </w:p>
    <w:p>
      <w:pPr>
        <w:numPr>
          <w:ilvl w:val="0"/>
          <w:numId w:val="3"/>
        </w:numPr>
      </w:pPr>
      <w:r>
        <w:rPr/>
        <w:t xml:space="preserve">3. Чихольд Я. Образ книги. - М.: Издательство студии Артемия Лебедева, 2012</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9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C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E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B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2026-04-21T09:25:32+03:00</dcterms:created>
  <dcterms:modified xsi:type="dcterms:W3CDTF">2026-04-21T09:25:32+03:00</dcterms:modified>
</cp:coreProperties>
</file>

<file path=docProps/custom.xml><?xml version="1.0" encoding="utf-8"?>
<Properties xmlns="http://schemas.openxmlformats.org/officeDocument/2006/custom-properties" xmlns:vt="http://schemas.openxmlformats.org/officeDocument/2006/docPropsVTypes"/>
</file>