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СОВРЕМЕННОЕ ИСКУССТВО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54.03.01 Дизайн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«Графический дизайн»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 августа 2020 г. №1015 (с изменениями и дополнениями от 27.02.2023 г. №208, от 19.07.2022 №662, от 26.11.2020 №1456) и учебным планом по направлению подготовки бакалавриата 54.03.01 Дизайн  (профиль «Графический дизайн»).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технологии, изобразительного искусства и дизайна.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Т.А. Волошина,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Современное искусство (О), Подготовка к защите и защита выпускной квалификационной работы (И), Академическая живопись (НО), Академическая скульптура и пластическое моделирование (О), История изобразительного искусства (НО), Академический рисунок (НО), Композиция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Имеет представление об основных этапах экономического и социокультурного развития общества; о религиозных, философских и эстетических идеях данного исторического периода; о научных методах искусствоведения; </w:t>
            </w:r>
          </w:p>
          <w:p/>
          <w:p>
            <w:pPr/>
            <w:r>
              <w:rPr/>
              <w:t xml:space="preserve">ОПК-1.2. Имеет представление об основных понятиях теории искусств, истории и теории дизайна; </w:t>
            </w:r>
          </w:p>
          <w:p/>
          <w:p>
            <w:pPr/>
            <w:r>
              <w:rPr/>
              <w:t xml:space="preserve">ОПК-1.3. Классифицирует и систематизирует исторически сложившиеся художественные школы и направления дизайна, выявляет и раскрывает их основные отличительные черты; </w:t>
            </w:r>
          </w:p>
          <w:p/>
          <w:p>
            <w:pPr/>
            <w:r>
              <w:rPr/>
              <w:t xml:space="preserve">ОПК-1.4. Способен применять знания в области истории и теории искусств, истории и теории дизайна в профессиональной области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Дизайн окружающей среды (О), Типографика и шрифт (О), Тиражная графика (И), Современное искусство (О), WEB-дизайн (ОИ), Инфографика (О), Информационные компьютерные технологии в дизайне (О), Дизайн упаковки (О), Предпечатные технологии (О), Анимация (О), Айдентика и создание брендбукинга (И), Подготовка к защите и защита выпускной квалификационной работы (И), Производственная практика (О), Академическая живопись (НО), Академическая скульптура и пластическое моделирование (О), Основы черчения в изобразительном искусстве (О), Академический рисунок (НО), Компьютерная графика (НО), Пропедевтика (Н), Перспектива в рисунке (О), Композиция (О), Цветоведение и колористика (Н), Предметный дизайн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Владеет принципами линейно-конструктивного построения, цветового решения композиции, современной шрифтовой культуру и способах проектной графики; </w:t>
            </w:r>
          </w:p>
          <w:p/>
          <w:p>
            <w:pPr/>
            <w:r>
              <w:rPr/>
              <w:t xml:space="preserve">ОПК-4.2. Анализирует варианты применения линейно-конструктивного построения, цветового решения композиции, современной шрифтовой культуры и способов проектной графики в профессиональной деятельности;</w:t>
            </w:r>
          </w:p>
          <w:p/>
          <w:p>
            <w:pPr/>
            <w:r>
              <w:rPr/>
              <w:t xml:space="preserve">ОПК-4.3. Применяет при проектировании, моделировании, конструировании предметов, товаров, промышленных образцов и коллекций, художественных предметно-пространственных комплексов, интерьеров зданий и сооружений архитектурно-пространственной среды, объектов ландшафтного дизайна оптимальные решения линейно-конструктивного построения, цветового решения композиции, современной шрифтовой культуры и способов проектной графики.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Современное искусство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«современное искусство» и его интерпретация ведущими исследователями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Современное европейское авторское ювелирное искусство: основные векторы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Мода как предмет научного знания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авангарда в искусстве XX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Абстракционизм как форма художественной репрезентации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Творчество Пабло Пикассо: проблема эволюции творческого языка мастера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Творчество Энди Уорхола и поп-арт как художественное течение, явление нео-поп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Экспрессионизм в европейском искусстве ХХ века: характерные черты и ведущие мастера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Стилистические особенности и художественные приёмы сюрреализма в искусстве ХХ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Реализм и гиперреализм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отечественной концепции авторского ювелирного творчества: основные этапы развития Российская керамика. Авторский фарфор Императорского фарфорового завода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Современное европейское авторское искусство стекла: основные векторы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цикличности в эволюции моды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Медиа-арт в системе современной визуальной художественной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Стрит арт Влияние новых технологий на развитие визуальных искусств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Культурно-историческая память и культурное наследие в творчестве художников XX-XXI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Концепт локальной идентичности в творчестве современных художников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литературы. Подготовка рефератов по разделам курса «Современное искусство»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Дисциплина «Современное искусство» реализуется для студентов направления подготовки</w:t>
      </w:r>
      <w:r>
        <w:rPr/>
        <w:t xml:space="preserve"> </w:t>
      </w:r>
      <w:r>
        <w:rPr/>
        <w:t xml:space="preserve">"Педагогическое образование с двумя профилями подготовки" профиль "Художественное образование в области Изобразительного искусства и культурологическое образование". На лекциях рассматриваются основные теоретические и методологические моменты разделов курса</w:t>
      </w:r>
      <w:r>
        <w:rPr/>
        <w:t xml:space="preserve"> </w:t>
      </w:r>
      <w:r>
        <w:rPr/>
        <w:t xml:space="preserve">с использованием традиционных образовательных технологий, обозначаются темы и вопросы, которые требуют самостоятельного изучения и последующего обсуждения.</w:t>
      </w:r>
    </w:p>
    <w:p>
      <w:pPr/>
      <w:r>
        <w:rPr/>
        <w:t xml:space="preserve">При проведении аудиторных занятий используются медиатехнологии. Лекции читаются с применением технологии объяснительно-иллюстративного обучения и информационно-компьютерных технологий. Визуальная насыщенность учебного материала в этом случае позволяет сделать его ярким, убедительным и способствует интенсификации процесса усвоения материала. Использование подобных технологий позволяет акцентировать внимание обучающихся на значимых моментах излагаемой информации и создавать наглядные образы в виде рисунков, таблиц, схем. Технология объяснительно-иллюстративного обучения также позволяет формировать у обучающихся общеучебные (организационные, интеллектуальные, информационные) и специальные (предметные) умения.</w:t>
      </w:r>
    </w:p>
    <w:p>
      <w:pPr/>
      <w:r>
        <w:rPr/>
        <w:t xml:space="preserve">Реализация комплексного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с сочетании с внеаудиторной работой.</w:t>
      </w:r>
      <w:r>
        <w:rPr/>
        <w:t xml:space="preserve">  </w:t>
      </w:r>
      <w:r>
        <w:rPr/>
        <w:t xml:space="preserve">В основном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</w:t>
      </w:r>
      <w:r>
        <w:rPr/>
        <w:t xml:space="preserve"> </w:t>
      </w:r>
      <w:r>
        <w:rPr/>
        <w:t xml:space="preserve">промежуточной аттестации. Тематика самостоятельной работы включает задания, которые необходимо подготовить к зачету. При выполнении самостоятельной работы обучающиеся используют источники, приведенные в списке рекомендуемой литературы и Интернет-источники. Внеаудиторная работа проводится в виде работы в научной библиотеке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реферат и презентация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Рефераты и презентации по теме:</w:t>
      </w:r>
    </w:p>
    <w:p>
      <w:pPr/>
      <w:r>
        <w:rPr/>
        <w:t xml:space="preserve">- анализ творчества художника-новатора </w:t>
      </w:r>
      <w:r>
        <w:rPr/>
        <w:t xml:space="preserve">XX</w:t>
      </w:r>
      <w:r>
        <w:rPr/>
        <w:t xml:space="preserve">-</w:t>
      </w:r>
      <w:r>
        <w:rPr/>
        <w:t xml:space="preserve">XXI</w:t>
      </w:r>
      <w:r>
        <w:rPr/>
        <w:t xml:space="preserve"> века на выбор обучающегося</w:t>
      </w:r>
    </w:p>
    <w:p>
      <w:pPr/>
      <w:r>
        <w:rPr/>
        <w:t xml:space="preserve">- анализ любого течения, направления, стиля </w:t>
      </w:r>
      <w:r>
        <w:rPr/>
        <w:t xml:space="preserve">XX</w:t>
      </w:r>
      <w:r>
        <w:rPr/>
        <w:t xml:space="preserve">-</w:t>
      </w:r>
      <w:r>
        <w:rPr/>
        <w:t xml:space="preserve">XXI</w:t>
      </w:r>
      <w:r>
        <w:rPr/>
        <w:t xml:space="preserve"> века на выбор обучающегося</w:t>
      </w:r>
    </w:p>
    <w:p>
      <w:pPr/>
      <w:r>
        <w:rPr/>
        <w:t xml:space="preserve">- анализ одного из видов пластических искусств </w:t>
      </w:r>
      <w:r>
        <w:rPr/>
        <w:t xml:space="preserve">XX</w:t>
      </w:r>
      <w:r>
        <w:rPr/>
        <w:t xml:space="preserve">-</w:t>
      </w:r>
      <w:r>
        <w:rPr/>
        <w:t xml:space="preserve">XXI</w:t>
      </w:r>
      <w:r>
        <w:rPr/>
        <w:t xml:space="preserve"> века на выбор обучающегося</w:t>
      </w:r>
    </w:p>
    <w:p>
      <w:pPr/>
      <w:r>
        <w:rPr/>
        <w:t xml:space="preserve">- анализ явлений в сфере моды </w:t>
      </w:r>
      <w:r>
        <w:rPr/>
        <w:t xml:space="preserve">XX</w:t>
      </w:r>
      <w:r>
        <w:rPr/>
        <w:t xml:space="preserve">-</w:t>
      </w:r>
      <w:r>
        <w:rPr/>
        <w:t xml:space="preserve">XXI</w:t>
      </w:r>
      <w:r>
        <w:rPr/>
        <w:t xml:space="preserve"> века на выбор обучающегося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Задание к зачету в форме следующих вопросов:</w:t>
      </w:r>
    </w:p>
    <w:p>
      <w:pPr>
        <w:numPr>
          <w:ilvl w:val="0"/>
          <w:numId w:val="1"/>
        </w:numPr>
      </w:pPr>
      <w:r>
        <w:rPr/>
        <w:t xml:space="preserve">Понятие «современное искусство» и его интерпретация ведущими исследователями</w:t>
      </w:r>
    </w:p>
    <w:p>
      <w:pPr>
        <w:numPr>
          <w:ilvl w:val="0"/>
          <w:numId w:val="1"/>
        </w:numPr>
      </w:pPr>
      <w:r>
        <w:rPr/>
        <w:t xml:space="preserve">Феномен авангарда в искусстве XX века</w:t>
      </w:r>
    </w:p>
    <w:p>
      <w:pPr>
        <w:numPr>
          <w:ilvl w:val="0"/>
          <w:numId w:val="1"/>
        </w:numPr>
      </w:pPr>
      <w:r>
        <w:rPr/>
        <w:t xml:space="preserve">Абстракционизм как форма художественной репрезентации</w:t>
      </w:r>
    </w:p>
    <w:p>
      <w:pPr>
        <w:numPr>
          <w:ilvl w:val="0"/>
          <w:numId w:val="1"/>
        </w:numPr>
      </w:pPr>
      <w:r>
        <w:rPr/>
        <w:t xml:space="preserve">Творчество Пабло Пикассо: проблема эволюции творческого языка мастера</w:t>
      </w:r>
    </w:p>
    <w:p>
      <w:pPr>
        <w:numPr>
          <w:ilvl w:val="0"/>
          <w:numId w:val="1"/>
        </w:numPr>
      </w:pPr>
      <w:r>
        <w:rPr/>
        <w:t xml:space="preserve">Творчество Энди Уорхола и поп-арт как художественное течение</w:t>
      </w:r>
    </w:p>
    <w:p>
      <w:pPr>
        <w:numPr>
          <w:ilvl w:val="0"/>
          <w:numId w:val="1"/>
        </w:numPr>
      </w:pPr>
      <w:r>
        <w:rPr/>
        <w:t xml:space="preserve">Нео-поп</w:t>
      </w:r>
    </w:p>
    <w:p>
      <w:pPr>
        <w:numPr>
          <w:ilvl w:val="0"/>
          <w:numId w:val="1"/>
        </w:numPr>
      </w:pPr>
      <w:r>
        <w:rPr/>
        <w:t xml:space="preserve">Экспрессионизм в европейском искусстве ХХ века: характерные черты и ведущие мастера</w:t>
      </w:r>
    </w:p>
    <w:p>
      <w:pPr>
        <w:numPr>
          <w:ilvl w:val="0"/>
          <w:numId w:val="1"/>
        </w:numPr>
      </w:pPr>
      <w:r>
        <w:rPr/>
        <w:t xml:space="preserve">Стилистические особенности и художественные приёмы сюрреализма в искусстве ХХ века</w:t>
      </w:r>
    </w:p>
    <w:p>
      <w:pPr>
        <w:numPr>
          <w:ilvl w:val="0"/>
          <w:numId w:val="1"/>
        </w:numPr>
      </w:pPr>
      <w:r>
        <w:rPr/>
        <w:t xml:space="preserve">Художники-новаторы XX-XXI в. и их вклад в теорию искусства</w:t>
      </w:r>
    </w:p>
    <w:p>
      <w:pPr>
        <w:numPr>
          <w:ilvl w:val="0"/>
          <w:numId w:val="1"/>
        </w:numPr>
      </w:pPr>
      <w:r>
        <w:rPr/>
        <w:t xml:space="preserve">Реализм и гиперреализм</w:t>
      </w:r>
    </w:p>
    <w:p>
      <w:pPr>
        <w:numPr>
          <w:ilvl w:val="0"/>
          <w:numId w:val="1"/>
        </w:numPr>
      </w:pPr>
      <w:r>
        <w:rPr/>
        <w:t xml:space="preserve">Постмодернизм</w:t>
      </w:r>
    </w:p>
    <w:p>
      <w:pPr>
        <w:numPr>
          <w:ilvl w:val="0"/>
          <w:numId w:val="1"/>
        </w:numPr>
      </w:pPr>
      <w:r>
        <w:rPr/>
        <w:t xml:space="preserve">Инсталляционизм</w:t>
      </w:r>
    </w:p>
    <w:p>
      <w:pPr>
        <w:numPr>
          <w:ilvl w:val="0"/>
          <w:numId w:val="1"/>
        </w:numPr>
      </w:pPr>
      <w:r>
        <w:rPr/>
        <w:t xml:space="preserve">Современное европейское авторское ювелирное искусство: основные векторы развития</w:t>
      </w:r>
    </w:p>
    <w:p>
      <w:pPr>
        <w:numPr>
          <w:ilvl w:val="0"/>
          <w:numId w:val="1"/>
        </w:numPr>
      </w:pPr>
      <w:r>
        <w:rPr/>
        <w:t xml:space="preserve">Формирование отечественной концепции авторского ювелирного творчества: основные этапы развития</w:t>
      </w:r>
    </w:p>
    <w:p>
      <w:pPr>
        <w:numPr>
          <w:ilvl w:val="0"/>
          <w:numId w:val="1"/>
        </w:numPr>
      </w:pPr>
      <w:r>
        <w:rPr/>
        <w:t xml:space="preserve">Современное европейское авторское искусство стекла: основные векторы развития</w:t>
      </w:r>
    </w:p>
    <w:p>
      <w:pPr>
        <w:numPr>
          <w:ilvl w:val="0"/>
          <w:numId w:val="1"/>
        </w:numPr>
      </w:pPr>
      <w:r>
        <w:rPr/>
        <w:t xml:space="preserve">Художественная керамика как вид пластического искусства</w:t>
      </w:r>
    </w:p>
    <w:p>
      <w:pPr>
        <w:numPr>
          <w:ilvl w:val="0"/>
          <w:numId w:val="1"/>
        </w:numPr>
      </w:pPr>
      <w:r>
        <w:rPr/>
        <w:t xml:space="preserve">Российская керамика</w:t>
      </w:r>
    </w:p>
    <w:p>
      <w:pPr>
        <w:numPr>
          <w:ilvl w:val="0"/>
          <w:numId w:val="1"/>
        </w:numPr>
      </w:pPr>
      <w:r>
        <w:rPr/>
        <w:t xml:space="preserve">Авторский фарфор Императорского фарфорового завода</w:t>
      </w:r>
    </w:p>
    <w:p>
      <w:pPr>
        <w:numPr>
          <w:ilvl w:val="0"/>
          <w:numId w:val="1"/>
        </w:numPr>
      </w:pPr>
      <w:r>
        <w:rPr/>
        <w:t xml:space="preserve">Кинетическое искусство. Его принципы в декоративном искусстве</w:t>
      </w:r>
    </w:p>
    <w:p>
      <w:pPr>
        <w:numPr>
          <w:ilvl w:val="0"/>
          <w:numId w:val="1"/>
        </w:numPr>
      </w:pPr>
      <w:r>
        <w:rPr/>
        <w:t xml:space="preserve">Мода как предмет научного знания</w:t>
      </w:r>
    </w:p>
    <w:p>
      <w:pPr>
        <w:numPr>
          <w:ilvl w:val="0"/>
          <w:numId w:val="1"/>
        </w:numPr>
      </w:pPr>
      <w:r>
        <w:rPr/>
        <w:t xml:space="preserve">Художественные коммуникации в современной моде</w:t>
      </w:r>
    </w:p>
    <w:p>
      <w:pPr>
        <w:numPr>
          <w:ilvl w:val="0"/>
          <w:numId w:val="1"/>
        </w:numPr>
      </w:pPr>
      <w:r>
        <w:rPr/>
        <w:t xml:space="preserve">Принципы цикличности в эволюции моды</w:t>
      </w:r>
    </w:p>
    <w:p>
      <w:pPr>
        <w:numPr>
          <w:ilvl w:val="0"/>
          <w:numId w:val="1"/>
        </w:numPr>
      </w:pPr>
      <w:r>
        <w:rPr/>
        <w:t xml:space="preserve">Медиа-арт в системе современной визуальной художественной практики</w:t>
      </w:r>
    </w:p>
    <w:p>
      <w:pPr>
        <w:numPr>
          <w:ilvl w:val="0"/>
          <w:numId w:val="1"/>
        </w:numPr>
      </w:pPr>
      <w:r>
        <w:rPr/>
        <w:t xml:space="preserve">Стрит арт</w:t>
      </w:r>
    </w:p>
    <w:p>
      <w:pPr>
        <w:numPr>
          <w:ilvl w:val="0"/>
          <w:numId w:val="1"/>
        </w:numPr>
      </w:pPr>
      <w:r>
        <w:rPr/>
        <w:t xml:space="preserve">Влияние новых технологий на развитие визуальных искусств</w:t>
      </w:r>
    </w:p>
    <w:p>
      <w:pPr>
        <w:numPr>
          <w:ilvl w:val="0"/>
          <w:numId w:val="1"/>
        </w:numPr>
      </w:pPr>
      <w:r>
        <w:rPr/>
        <w:t xml:space="preserve">Культурно-историческая память и культурное наследие в творчестве художников XX-XXI в.</w:t>
      </w:r>
    </w:p>
    <w:p>
      <w:pPr>
        <w:numPr>
          <w:ilvl w:val="0"/>
          <w:numId w:val="1"/>
        </w:numPr>
      </w:pPr>
      <w:r>
        <w:rPr/>
        <w:t xml:space="preserve">Концепт локальной идентичности в творчестве современных художников Карелии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освоения дисциплины "Современное искусство" - формирование у студентов базовых знаний по теории и истории современного искусства, изучение творчества художников, стилей, течений, направлений, видов пластических искусств, применение знаний в образовательной деятельности.</w:t>
      </w:r>
    </w:p>
    <w:p>
      <w:pPr/>
      <w:r>
        <w:rPr/>
        <w:t xml:space="preserve">Дисциплина содержит 22 лекции. Форма промежуточной аттестации -</w:t>
      </w:r>
      <w:r>
        <w:rPr/>
        <w:t xml:space="preserve"> </w:t>
      </w:r>
      <w:r>
        <w:rPr/>
        <w:t xml:space="preserve"> зачет. Дисциплина разделена на 3 тематических модуля. Модуль включает лекции и самостоятельную работу (см. разделы 3.3 и 3.4 настоящей РПД). Основные образовательные технологии перечислены в разделе 4, оценочные средства – в разделе 5.</w:t>
      </w:r>
    </w:p>
    <w:p>
      <w:pPr/>
      <w:r>
        <w:rPr/>
        <w:t xml:space="preserve">На лекциях обучающиеся изучают теоретические вопросы, касающиеся современного искусства.</w:t>
      </w:r>
      <w:r>
        <w:rPr/>
        <w:t xml:space="preserve"> </w:t>
      </w:r>
      <w:r>
        <w:rPr/>
        <w:t xml:space="preserve">Обучающиеся, пропустившие лекцию, самостоятельно составляют конспект и выполняют задание по соответствующей теме и представляют его на проверку преподавателю.</w:t>
      </w:r>
      <w:r>
        <w:rPr/>
        <w:t xml:space="preserve"> </w:t>
      </w:r>
    </w:p>
    <w:p>
      <w:pPr/>
      <w:r>
        <w:rPr/>
        <w:t xml:space="preserve">Внеаудиторная самостоятельная работа по дисциплине включает такие</w:t>
      </w:r>
      <w:r>
        <w:rPr/>
        <w:t xml:space="preserve"> </w:t>
      </w:r>
      <w:r>
        <w:rPr/>
        <w:t xml:space="preserve">формы работы, как:</w:t>
      </w:r>
      <w:br/>
      <w:r>
        <w:rPr/>
        <w:t xml:space="preserve">изучение программного материала дисциплины (работа с учебником и</w:t>
      </w:r>
      <w:r>
        <w:rPr/>
        <w:t xml:space="preserve"> </w:t>
      </w:r>
      <w:r>
        <w:rPr/>
        <w:t xml:space="preserve">конспектом лекции);</w:t>
      </w:r>
      <w:br/>
      <w:r>
        <w:rPr/>
        <w:t xml:space="preserve">изучение рекомендуемых литературных источников;</w:t>
      </w:r>
      <w:br/>
      <w:r>
        <w:rPr/>
        <w:t xml:space="preserve">конспектирование источников;</w:t>
      </w:r>
      <w:br/>
      <w:r>
        <w:rPr/>
        <w:t xml:space="preserve">работа со словарями и справочниками;</w:t>
      </w:r>
      <w:br/>
      <w:r>
        <w:rPr/>
        <w:t xml:space="preserve">работа с электронными информационными ресурсами и ресурсами </w:t>
      </w:r>
      <w:r>
        <w:rPr/>
        <w:t xml:space="preserve">Internet</w:t>
      </w:r>
      <w:r>
        <w:rPr/>
        <w:t xml:space="preserve">;</w:t>
      </w:r>
      <w:br/>
      <w:r>
        <w:rPr/>
        <w:t xml:space="preserve">подготовка презентаций;</w:t>
      </w:r>
      <w:br/>
      <w:r>
        <w:rPr/>
        <w:t xml:space="preserve">ответы на контрольные вопросы;</w:t>
      </w:r>
      <w:br/>
      <w:r>
        <w:rPr/>
        <w:t xml:space="preserve">аннотирование;</w:t>
      </w:r>
      <w:br/>
      <w:r>
        <w:rPr/>
        <w:t xml:space="preserve">написание докладов;</w:t>
      </w:r>
      <w:br/>
      <w:r>
        <w:rPr/>
        <w:t xml:space="preserve">подготовка к зачету.</w:t>
      </w:r>
      <w:br/>
      <w:r>
        <w:rPr/>
        <w:t xml:space="preserve">Критериями оценки результатов внеаудиторной самостоятельной работы</w:t>
      </w:r>
      <w:r>
        <w:rPr/>
        <w:t xml:space="preserve"> </w:t>
      </w:r>
      <w:r>
        <w:rPr/>
        <w:t xml:space="preserve">студента являются:</w:t>
      </w:r>
      <w:br/>
      <w:r>
        <w:rPr/>
        <w:t xml:space="preserve">- уровень освоения учебного материала,</w:t>
      </w:r>
      <w:br/>
      <w:r>
        <w:rPr/>
        <w:t xml:space="preserve">- умение использовать теоретические знания при выполнении</w:t>
      </w:r>
      <w:r>
        <w:rPr/>
        <w:t xml:space="preserve"> </w:t>
      </w:r>
      <w:r>
        <w:rPr/>
        <w:t xml:space="preserve">практических задач,</w:t>
      </w:r>
      <w:br/>
      <w:r>
        <w:rPr/>
        <w:t xml:space="preserve">- полнота общеучебных представлений, знаний и умений по изучаемой</w:t>
      </w:r>
      <w:r>
        <w:rPr/>
        <w:t xml:space="preserve"> </w:t>
      </w:r>
      <w:r>
        <w:rPr/>
        <w:t xml:space="preserve">теме, к которой относится данная самостоятельная работа,</w:t>
      </w:r>
      <w:br/>
      <w:r>
        <w:rPr/>
        <w:t xml:space="preserve">- обоснованность и четкость изложения ответа на поставленный по</w:t>
      </w:r>
      <w:r>
        <w:rPr/>
        <w:t xml:space="preserve"> </w:t>
      </w:r>
      <w:r>
        <w:rPr/>
        <w:t xml:space="preserve">внеаудиторной самостоятельной работе вопрос,</w:t>
      </w:r>
      <w:br/>
      <w:r>
        <w:rPr/>
        <w:t xml:space="preserve">- оформление отчетного материала в соответствии с известными или</w:t>
      </w:r>
      <w:r>
        <w:rPr/>
        <w:t xml:space="preserve"> </w:t>
      </w:r>
      <w:r>
        <w:rPr/>
        <w:t xml:space="preserve">заданными преподавателем требованиями, предъявляемыми к подобного рода</w:t>
      </w:r>
      <w:r>
        <w:rPr/>
        <w:t xml:space="preserve"> </w:t>
      </w:r>
      <w:r>
        <w:rPr/>
        <w:t xml:space="preserve">материалам.</w:t>
      </w:r>
      <w:br/>
      <w:r>
        <w:rPr/>
        <w:t xml:space="preserve">Студентам рекомендуется обязательное использование при подготовке</w:t>
      </w:r>
      <w:r>
        <w:rPr/>
        <w:t xml:space="preserve"> </w:t>
      </w:r>
      <w:r>
        <w:rPr/>
        <w:t xml:space="preserve">дополнительной литературы, которая поможет успешнее и быстрее разобраться</w:t>
      </w:r>
      <w:r>
        <w:rPr/>
        <w:t xml:space="preserve"> </w:t>
      </w:r>
      <w:r>
        <w:rPr/>
        <w:t xml:space="preserve">в поставленных вопросах и задачах.</w:t>
      </w:r>
    </w:p>
    <w:p>
      <w:pPr/>
      <w:r>
        <w:rPr/>
        <w:t xml:space="preserve">Текущая аттестация представляет собой подготовку рефератов и их презентацию к разделам курса "Современное искусство" (см. раздел 5.1).</w:t>
      </w:r>
      <w:r>
        <w:rPr/>
        <w:t xml:space="preserve"> </w:t>
      </w:r>
    </w:p>
    <w:p>
      <w:pPr/>
      <w:r>
        <w:rPr/>
        <w:t xml:space="preserve">Заканчивается курс открытой предзащитой занятий, где студент представляет основное содержание своей разработки.</w:t>
      </w:r>
    </w:p>
    <w:p>
      <w:pPr/>
      <w:r>
        <w:rPr/>
        <w:t xml:space="preserve">При подготовке к зачету необходимо пользоваться источниками, приведенными в списке литературы, и Интернет-ресурсами (см. раздел 8).</w:t>
      </w:r>
    </w:p>
    <w:p>
      <w:pPr/>
      <w:r>
        <w:rPr/>
        <w:t xml:space="preserve">К зачету допускаются обучающиеся, не имеющие задолженностей по всем видам занятий и работ в семестре. Зачет проводится в форме собеседования (см. раздел 5.2), на подготовку отводится 15-20 мин.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"Современное искусство" предназначена для студентов направления</w:t>
      </w:r>
      <w:r>
        <w:rPr/>
        <w:t xml:space="preserve"> </w:t>
      </w:r>
      <w:r>
        <w:rPr/>
        <w:t xml:space="preserve">"Педагогическое образование с двумя профилями подготовки" профиль "Художественное образование в области изобразительного искусства и культурологическое образование". Дисциплина включает 22 лекций и задания для самостоятельной работы. Форма промежуточной аттестации -</w:t>
      </w:r>
      <w:r>
        <w:rPr/>
        <w:t xml:space="preserve"> </w:t>
      </w:r>
      <w:r>
        <w:rPr/>
        <w:t xml:space="preserve"> зачет.</w:t>
      </w:r>
    </w:p>
    <w:p>
      <w:pPr/>
      <w:r>
        <w:rPr/>
        <w:t xml:space="preserve"> </w:t>
      </w:r>
      <w:r>
        <w:rPr/>
        <w:t xml:space="preserve">Дисциплина разделена на 3 тематических модуля. Модуль включает лекции и самостоятельную работу (см. разделы 3.3 и 3.4 настоящей РПД). Основные образовательные технологии перечислены в разделе 4, оценочные средства – в разделе 5.</w:t>
      </w:r>
      <w:r>
        <w:rPr/>
        <w:t xml:space="preserve"> </w:t>
      </w:r>
    </w:p>
    <w:p>
      <w:pPr/>
      <w:r>
        <w:rPr/>
        <w:t xml:space="preserve">В результате освоения данной учебной дисциплины обучающийся должен знать периоды развития современного искусства, а также творчество художников, стили, течения, направления, виды пластических искусств </w:t>
      </w:r>
      <w:r>
        <w:rPr/>
        <w:t xml:space="preserve">XX</w:t>
      </w:r>
      <w:r>
        <w:rPr/>
        <w:t xml:space="preserve">-</w:t>
      </w:r>
      <w:r>
        <w:rPr/>
        <w:t xml:space="preserve">XXI</w:t>
      </w:r>
      <w:r>
        <w:rPr/>
        <w:t xml:space="preserve"> в.</w:t>
      </w:r>
    </w:p>
    <w:p>
      <w:pPr/>
      <w:r>
        <w:rPr/>
        <w:t xml:space="preserve">В преподавании дисциплины используются классические контактные формы обучения – лекционные занятия, практикумы, творческие задания. Лекции проводятся в общих лекционных аудиториях университета, оборудованных мультимедийной техникой.</w:t>
      </w:r>
      <w:r>
        <w:rPr/>
        <w:t xml:space="preserve"> </w:t>
      </w:r>
      <w:r>
        <w:rPr/>
        <w:t xml:space="preserve">На лекциях рассматриваются теоретические и методологические основы дисциплины, определяются отдельные темы и вопросы, которые выносятся на задания для самостоятельной работы. Лекционный курс построен на основе учебников по современному искусству, включенных в список рекомендуемой литературы.</w:t>
      </w:r>
      <w:r>
        <w:rPr/>
        <w:t xml:space="preserve"> </w:t>
      </w:r>
      <w:r>
        <w:rPr/>
        <w:t xml:space="preserve">Самостоятельная работа (см. раздел 3.4) предполагает подготовку к выполнению заданий практических занятий промежуточной аттестации.</w:t>
      </w:r>
      <w:r>
        <w:rPr/>
        <w:t xml:space="preserve"> </w:t>
      </w:r>
      <w:r>
        <w:rPr/>
        <w:t xml:space="preserve">Преподаватель в журнале отмечает выполнение</w:t>
      </w:r>
      <w:r>
        <w:rPr/>
        <w:t xml:space="preserve"> </w:t>
      </w:r>
      <w:r>
        <w:rPr/>
        <w:t xml:space="preserve">самостоятельных работ, активность работы на</w:t>
      </w:r>
      <w:r>
        <w:rPr/>
        <w:t xml:space="preserve"> </w:t>
      </w:r>
      <w:r>
        <w:rPr/>
        <w:t xml:space="preserve">занятиях.</w:t>
      </w:r>
    </w:p>
    <w:p>
      <w:pPr/>
      <w:r>
        <w:rPr/>
        <w:t xml:space="preserve">Для успешного изучения дисциплины используется учебная литература и имеющиеся электронные ресурсы, список которых приведен в разделе 8.</w:t>
      </w:r>
    </w:p>
    <w:p>
      <w:pPr/>
      <w:r>
        <w:rPr/>
        <w:t xml:space="preserve">Обучающийся, пропустивший занятие, самостоятельно разрабатывает, конспектирует рассмотренные вопросы и представляет преподавателю на проверку.</w:t>
      </w:r>
    </w:p>
    <w:p>
      <w:pPr/>
      <w:r>
        <w:rPr/>
        <w:t xml:space="preserve">К зачету допускаются обучающиеся, не имеющие задолженностей по всем видам занятий и работ в семестре.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Бeлтинг Ханс. Иcтopия иcкуccтва пocле мoдеpнизма, </w:t>
      </w:r>
      <w:hyperlink r:id="rId7" w:history="1">
        <w:r>
          <w:rPr/>
          <w:t xml:space="preserve">Бельтинг Ханс</w:t>
        </w:r>
      </w:hyperlink>
      <w:r>
        <w:rPr/>
        <w:t xml:space="preserve">. Издательство </w:t>
      </w:r>
      <w:hyperlink r:id="rId8" w:history="1">
        <w:r>
          <w:rPr/>
          <w:t xml:space="preserve">Музей современного искусства «Гараж»</w:t>
        </w:r>
      </w:hyperlink>
      <w:r>
        <w:rPr/>
        <w:t xml:space="preserve">, 2024.</w:t>
      </w:r>
    </w:p>
    <w:p>
      <w:pPr>
        <w:numPr>
          <w:ilvl w:val="0"/>
          <w:numId w:val="2"/>
        </w:numPr>
      </w:pPr>
      <w:r>
        <w:rPr/>
        <w:t xml:space="preserve">Гилодо, А. А. Мастера XXI века / Андрей Гилодо, Ирина Перфильева, Елена Тихомирова. - М.: Бук Хаус, 2004. - 192 с.</w:t>
      </w:r>
    </w:p>
    <w:p>
      <w:pPr>
        <w:numPr>
          <w:ilvl w:val="0"/>
          <w:numId w:val="2"/>
        </w:numPr>
      </w:pPr>
      <w:r>
        <w:rPr/>
        <w:t xml:space="preserve">Казакова Л.В. Декоративное искусство России в контексте мирового студийного творчества. – М.: Гнозис, 2013. – 160 с. ил.</w:t>
      </w:r>
    </w:p>
    <w:p>
      <w:pPr>
        <w:numPr>
          <w:ilvl w:val="0"/>
          <w:numId w:val="2"/>
        </w:numPr>
      </w:pPr>
      <w:r>
        <w:rPr/>
        <w:t xml:space="preserve">Ky Кэтрин. Paспад. Cyть coвременного искусства / К. Ку ; пер. с англ. Г. А. Диановой. – Москва ; Берлин : Директмедиа Паблишинг, 2019. – 131 с.: ил.</w:t>
      </w:r>
    </w:p>
    <w:p>
      <w:pPr>
        <w:numPr>
          <w:ilvl w:val="0"/>
          <w:numId w:val="2"/>
        </w:numPr>
      </w:pPr>
      <w:r>
        <w:rPr/>
        <w:t xml:space="preserve">Mopли Саймон. Ceмь ключeй к cовременному иcкусству, Издательство ООО «Ад Маргинем Пресс», ООО «АВСдизайн», 2021 Саймон Морли.</w:t>
      </w:r>
    </w:p>
    <w:p>
      <w:pPr>
        <w:numPr>
          <w:ilvl w:val="0"/>
          <w:numId w:val="2"/>
        </w:numPr>
      </w:pPr>
      <w:r>
        <w:rPr/>
        <w:t xml:space="preserve">Перфильева, И. Ю. Русское ювелирное искусство XX века в контексте европейских художественных традиций. 1920-2000-е годы / Ирина Перфильева. - М.: Прогресс – Традиция, 2016. - 512 с.</w:t>
      </w:r>
    </w:p>
    <w:p>
      <w:pPr>
        <w:numPr>
          <w:ilvl w:val="0"/>
          <w:numId w:val="2"/>
        </w:numPr>
      </w:pPr>
      <w:r>
        <w:rPr/>
        <w:t xml:space="preserve">Советские художники-ювелиры: альбом / Под ред. М. А. Ильина, В. А. Елкова, Л. Ф. Романова. - М.: Советский художник, 1980. – 459 с.</w:t>
      </w:r>
    </w:p>
    <w:p>
      <w:pPr>
        <w:numPr>
          <w:ilvl w:val="0"/>
          <w:numId w:val="2"/>
        </w:numPr>
      </w:pPr>
      <w:r>
        <w:rPr/>
        <w:t xml:space="preserve">Хофман Вернер. Основы современного искусства: Введение в его символические формы / Пер. с нем. А. Белобратова; Ред. И. Чечот и А. Лепорк – СПб. : Академический проект – 2004 - 560 с., ил.</w:t>
      </w:r>
    </w:p>
    <w:p>
      <w:pPr>
        <w:numPr>
          <w:ilvl w:val="0"/>
          <w:numId w:val="2"/>
        </w:numPr>
      </w:pPr>
      <w:r>
        <w:rPr/>
        <w:t xml:space="preserve">Филлипс Сэм «...Измы. Как понимать современное искусство», Издательство </w:t>
      </w:r>
      <w:hyperlink r:id="rId9" w:history="1">
        <w:r>
          <w:rPr/>
          <w:t xml:space="preserve">Ад Маргинем</w:t>
        </w:r>
      </w:hyperlink>
      <w:r>
        <w:rPr/>
        <w:t xml:space="preserve">, 2019, 168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Дeмпси Эми. Стили, школы, направления. Путеводитель по современному искусству. Издательство, </w:t>
      </w:r>
      <w:hyperlink r:id="rId10" w:history="1">
        <w:r>
          <w:rPr/>
          <w:t xml:space="preserve">Искусство ХХI век</w:t>
        </w:r>
      </w:hyperlink>
      <w:r>
        <w:rPr/>
        <w:t xml:space="preserve">, 2017, 304 с.</w:t>
      </w:r>
    </w:p>
    <w:p>
      <w:pPr>
        <w:numPr>
          <w:ilvl w:val="0"/>
          <w:numId w:val="3"/>
        </w:numPr>
      </w:pPr>
      <w:r>
        <w:rPr/>
        <w:t xml:space="preserve">Чepaзи Джессика, Aн К. Kто бoитcя coвpeмeннoго иcкyсcтвa? Пyтeвoдитeль по миpy coвpемeннoгo иcкyсcтвa oт A дo Я, Издательство </w:t>
      </w:r>
      <w:hyperlink r:id="rId9" w:history="1">
        <w:r>
          <w:rPr/>
          <w:t xml:space="preserve">Ад Маргинем</w:t>
        </w:r>
      </w:hyperlink>
      <w:r>
        <w:rPr/>
        <w:t xml:space="preserve">, 2018, 136 с.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F6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CD0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B82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37AE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abirint.ru/authors/300249/" TargetMode="External"/><Relationship Id="rId8" Type="http://schemas.openxmlformats.org/officeDocument/2006/relationships/hyperlink" Target="https://www.labirint.ru/pubhouse/4513/" TargetMode="External"/><Relationship Id="rId9" Type="http://schemas.openxmlformats.org/officeDocument/2006/relationships/hyperlink" Target="https://www.labirint.ru/pubhouse/326/" TargetMode="External"/><Relationship Id="rId10" Type="http://schemas.openxmlformats.org/officeDocument/2006/relationships/hyperlink" Target="https://www.labirint.ru/pubhouse/194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2026-04-21T07:44:36+03:00</dcterms:created>
  <dcterms:modified xsi:type="dcterms:W3CDTF">2026-04-21T07:44:36+03:00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