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МЕТОДОЛОГИЯ СОЗДАНИЯ СОВРЕМЕННЫХ ОБРАЗОВАТЕЛЬНЫХ ПРОДУКТОВ В ИНДУСТРИИ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43.04.02 Туризм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«Проектирование в индустрии туризма»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очно-заочная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15.06.2017 г. N 556 (с изменениями от 08.02.2021 г. N 82, от 26.11.2020 №1456) и учебным планом по направлению подготовки магистратуры 43.04.02 Туризм  (профиль «Проектирование в индустрии туризма»).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Колесникова Наталья Владимировна, заведующий кафедрой, кафедра туризма, кандидат экономических наук, доцент.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Н.В. Колесникова, кандидат экономических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институти физической культуры, спорта и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УК-6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УК-6.1. Определение уровня самооценки и уровня притязаний как основы для выбора приоритетов собственной деятельности</w:t>
            </w:r>
          </w:p>
          <w:p/>
          <w:p>
            <w:pPr/>
            <w:r>
              <w:rPr/>
              <w:t xml:space="preserve">УК-6.2. Определение приоритетов собственной деятельности, личностного развития и профессионального роста</w:t>
            </w:r>
          </w:p>
          <w:p/>
          <w:p>
            <w:pPr/>
            <w:r>
              <w:rPr/>
              <w:t xml:space="preserve">УК-6.3. Выбор технологий целеполагания и целедостижения для постановки целей личностного развития и профессионального роста</w:t>
            </w:r>
          </w:p>
          <w:p/>
          <w:p>
            <w:pPr/>
            <w:r>
              <w:rPr/>
              <w:t xml:space="preserve">УК-6.4. Оценка собственных (личностных, ситуативных, временных) ресурсов, выбор способов преодоления личностных ограничений на пути достижения целей</w:t>
            </w:r>
          </w:p>
          <w:p/>
          <w:p>
            <w:pPr/>
            <w:r>
              <w:rPr/>
              <w:t xml:space="preserve">УК-6.5. Оценка требований рынка труда и образовательных услуг для выстраивания траектории собственного профессионального роста</w:t>
            </w:r>
          </w:p>
          <w:p/>
          <w:p>
            <w:pPr/>
            <w:r>
              <w:rPr/>
              <w:t xml:space="preserve">УК-6.6. Оценка собственного ресурсного состояния, выбор средств коррекции ресурсного состояния</w:t>
            </w:r>
          </w:p>
          <w:p/>
          <w:p>
            <w:pPr/>
            <w:r>
              <w:rPr/>
              <w:t xml:space="preserve">УК-6.7. Оценка индивидуального личностного потенциала, выбор техник самоорганизации и самоконтроля для реализации собственной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педагогическую деятельность по основным профессиональным образовательным программам и дополнительным профессиональным программам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ОПК-7.1. Осуществляет педагогическую деятельность по основным образовательным программам бакалавриата и дополнительным профессиональным программам, ориентированным на подготовку кадров для индустрии туризма;</w:t>
            </w:r>
          </w:p>
          <w:p/>
          <w:p>
            <w:pPr/>
            <w:r>
              <w:rPr/>
              <w:t xml:space="preserve">ОПК-7.2. Выбирает формы и методы подготовки к проведению занятий по основным профессиональным образовательным программам и дополнительным профессиональным программам;</w:t>
            </w:r>
          </w:p>
          <w:p/>
          <w:p>
            <w:pPr/>
            <w:r>
              <w:rPr/>
              <w:t xml:space="preserve">ОПК-7.3. Планирует результаты обучения, проводит текущий контроль знаний и промежуточную аттестацию по дисциплинам.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Методология создания современных образовательных продуктов в индустрии туризма входит в обязательную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13,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Федеральные государственные стандарты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Технология разработки образовательного продукта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Защита проектов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Государственная политика в области образования.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ФГОС в области туризма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целевой аудитории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Каналы коммуникации: офлайн и онлайн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Оценка деятельности и мотивации учеников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Профессиональные стандарты в области туризма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Структура образовательной программы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Форматы учебных активностей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Мотивация студента и мотивационный дизайн программы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Защита проектов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литературы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Оценка деятельности и мотивации учеников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проектов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проектов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Учебный процесс при преподавании курса основывается на использовании традиционных, инновационных и информационных образовательных технологий. Традиционные образовательные технологии представлены лекциями и семинарскими (практическими) занятиями. Применяются различные виды лекций: вводная лекция, обзорная лекция, лекция-информация, лекция-визуализация, проблемная лекция. Лекции по дисциплине представлены в презентациях PowerPoint. Инновационные образовательные технологии используются в виде широкого применения активных и интерактивных форм проведения занятий (разбор конкретных ситуаций, работа в группах, дискуссия, доклады, консультация, метод проектов). Информационные образовательные технологии реализуются путем активизации самостоятельной работы студентов в информационной образовательной среде.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проект.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Проект</w:t>
      </w:r>
    </w:p>
    <w:p>
      <w:pPr/>
      <w:r>
        <w:rPr/>
        <w:t xml:space="preserve">Цель проекта - разработка образовательного продукта для индустрии туризма и гостеприимства. </w:t>
      </w:r>
    </w:p>
    <w:p>
      <w:pPr/>
      <w:r>
        <w:rPr/>
        <w:t xml:space="preserve">Критерии оценки </w:t>
      </w:r>
    </w:p>
    <w:tbl>
      <w:tblGrid>
        <w:gridCol w:w="1350" w:type="dxa"/>
        <w:gridCol w:w="3600" w:type="dxa"/>
      </w:tblGrid>
      <w:tblPr>
        <w:tblW w:w="5000" w:type="pct"/>
        <w:tblLayout w:type="autofit"/>
      </w:tblPr>
      <w:tr>
        <w:trPr/>
        <w:tc>
          <w:tcPr>
            <w:tcW w:w="1350" w:type="pct"/>
            <w:noWrap/>
          </w:tcPr>
          <w:p>
            <w:pPr/>
            <w:r>
              <w:rPr>
                <w:i w:val="1"/>
                <w:iCs w:val="1"/>
              </w:rPr>
              <w:t xml:space="preserve">Зачтено</w:t>
            </w:r>
          </w:p>
        </w:tc>
        <w:tc>
          <w:tcPr>
            <w:tcW w:w="3600" w:type="pct"/>
            <w:noWrap/>
          </w:tcPr>
          <w:p>
            <w:pPr/>
            <w:r>
              <w:rPr/>
              <w:t xml:space="preserve">Студент самостоятельно подготовил работу, выполнил теоретическое обоснование и практическую часть, описал портрет потребителя, конкурентов. Подготовил презентацию, при защите ответил на вопросы полно и аргументировано.</w:t>
            </w:r>
          </w:p>
        </w:tc>
      </w:tr>
      <w:tr>
        <w:trPr/>
        <w:tc>
          <w:tcPr>
            <w:tcW w:w="1350" w:type="pct"/>
            <w:noWrap/>
          </w:tcPr>
          <w:p>
            <w:pPr/>
            <w:r>
              <w:rPr>
                <w:i w:val="1"/>
                <w:iCs w:val="1"/>
              </w:rPr>
              <w:t xml:space="preserve">Не зачтено</w:t>
            </w:r>
          </w:p>
        </w:tc>
        <w:tc>
          <w:tcPr>
            <w:tcW w:w="3600" w:type="pct"/>
            <w:noWrap/>
          </w:tcPr>
          <w:p>
            <w:pPr/>
            <w:r>
              <w:rPr/>
              <w:t xml:space="preserve">Студент недостаточно качественно подготовил работу, не выдержал все структурные элементы, без презентации, на вопросы не ответил.</w:t>
            </w:r>
          </w:p>
        </w:tc>
      </w:tr>
    </w:tbl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Вопросы к зачету</w:t>
      </w:r>
    </w:p>
    <w:p>
      <w:pPr>
        <w:numPr>
          <w:ilvl w:val="0"/>
          <w:numId w:val="1"/>
        </w:numPr>
      </w:pPr>
      <w:r>
        <w:rPr/>
        <w:t xml:space="preserve">Классификация образовательных технологий</w:t>
      </w:r>
    </w:p>
    <w:p>
      <w:pPr>
        <w:numPr>
          <w:ilvl w:val="0"/>
          <w:numId w:val="1"/>
        </w:numPr>
      </w:pPr>
      <w:r>
        <w:rPr/>
        <w:t xml:space="preserve">Традиционные технологии обучения</w:t>
      </w:r>
    </w:p>
    <w:p>
      <w:pPr>
        <w:numPr>
          <w:ilvl w:val="0"/>
          <w:numId w:val="1"/>
        </w:numPr>
      </w:pPr>
      <w:r>
        <w:rPr/>
        <w:t xml:space="preserve">Технологии личностно-ориентированного обучения.</w:t>
      </w:r>
    </w:p>
    <w:p>
      <w:pPr>
        <w:numPr>
          <w:ilvl w:val="0"/>
          <w:numId w:val="1"/>
        </w:numPr>
      </w:pPr>
      <w:r>
        <w:rPr/>
        <w:t xml:space="preserve">Технологии критического мышления</w:t>
      </w:r>
    </w:p>
    <w:p>
      <w:pPr>
        <w:numPr>
          <w:ilvl w:val="0"/>
          <w:numId w:val="1"/>
        </w:numPr>
      </w:pPr>
      <w:r>
        <w:rPr/>
        <w:t xml:space="preserve">Игровые технологии.</w:t>
      </w:r>
    </w:p>
    <w:p>
      <w:pPr>
        <w:numPr>
          <w:ilvl w:val="0"/>
          <w:numId w:val="1"/>
        </w:numPr>
      </w:pPr>
      <w:r>
        <w:rPr/>
        <w:t xml:space="preserve">Кейс-технологии.</w:t>
      </w:r>
    </w:p>
    <w:p>
      <w:pPr>
        <w:numPr>
          <w:ilvl w:val="0"/>
          <w:numId w:val="1"/>
        </w:numPr>
      </w:pPr>
      <w:r>
        <w:rPr/>
        <w:t xml:space="preserve">Технологии творческих мастерских</w:t>
      </w:r>
    </w:p>
    <w:p>
      <w:pPr>
        <w:numPr>
          <w:ilvl w:val="0"/>
          <w:numId w:val="1"/>
        </w:numPr>
      </w:pPr>
      <w:r>
        <w:rPr/>
        <w:t xml:space="preserve">Здоровьесберегающие технологии</w:t>
      </w:r>
    </w:p>
    <w:p>
      <w:pPr>
        <w:numPr>
          <w:ilvl w:val="0"/>
          <w:numId w:val="1"/>
        </w:numPr>
      </w:pPr>
      <w:r>
        <w:rPr/>
        <w:t xml:space="preserve">Проблемное обучение</w:t>
      </w:r>
    </w:p>
    <w:p>
      <w:pPr>
        <w:numPr>
          <w:ilvl w:val="0"/>
          <w:numId w:val="1"/>
        </w:numPr>
      </w:pPr>
      <w:r>
        <w:rPr/>
        <w:t xml:space="preserve">Компьютерные (информационные) технологии.</w:t>
      </w:r>
    </w:p>
    <w:p>
      <w:pPr>
        <w:numPr>
          <w:ilvl w:val="0"/>
          <w:numId w:val="1"/>
        </w:numPr>
      </w:pPr>
      <w:r>
        <w:rPr/>
        <w:t xml:space="preserve">Технологии программированного обучения</w:t>
      </w:r>
    </w:p>
    <w:p>
      <w:pPr>
        <w:numPr>
          <w:ilvl w:val="0"/>
          <w:numId w:val="1"/>
        </w:numPr>
      </w:pPr>
      <w:r>
        <w:rPr/>
        <w:t xml:space="preserve">Технологии модульного обучения.</w:t>
      </w:r>
    </w:p>
    <w:p>
      <w:pPr>
        <w:numPr>
          <w:ilvl w:val="0"/>
          <w:numId w:val="1"/>
        </w:numPr>
      </w:pPr>
      <w:r>
        <w:rPr/>
        <w:t xml:space="preserve">Технологии интегрированного обучения</w:t>
      </w:r>
    </w:p>
    <w:p>
      <w:pPr>
        <w:numPr>
          <w:ilvl w:val="0"/>
          <w:numId w:val="1"/>
        </w:numPr>
      </w:pPr>
      <w:r>
        <w:rPr/>
        <w:t xml:space="preserve">Актуальность выбора и обоснованность применения образовательной технологии </w:t>
      </w:r>
      <w:br/>
      <w:br/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обеспечения систематической и регулярной работы по изучению дисциплины и успешного прохождения промежуточных и итоговых контрольных испытаний студенту рекомендуется придерживаться следующего порядка обучения:</w:t>
      </w:r>
    </w:p>
    <w:p>
      <w:pPr>
        <w:numPr>
          <w:ilvl w:val="0"/>
          <w:numId w:val="2"/>
        </w:numPr>
      </w:pPr>
      <w:r>
        <w:rPr/>
        <w:t xml:space="preserve">Самостоятельно определить объем времени, необходимого для проработки каждой темы.</w:t>
      </w:r>
    </w:p>
    <w:p>
      <w:pPr>
        <w:numPr>
          <w:ilvl w:val="0"/>
          <w:numId w:val="2"/>
        </w:numPr>
      </w:pPr>
      <w:r>
        <w:rPr/>
        <w:t xml:space="preserve">Регулярно изучать каждую тему дисциплины, используя различные формы индивидуальной работы.</w:t>
      </w:r>
    </w:p>
    <w:p>
      <w:pPr>
        <w:numPr>
          <w:ilvl w:val="0"/>
          <w:numId w:val="2"/>
        </w:numPr>
      </w:pPr>
      <w:r>
        <w:rPr/>
        <w:t xml:space="preserve">Согласовывать с преподавателем виды работы по изучению дисциплины.</w:t>
      </w:r>
    </w:p>
    <w:p>
      <w:pPr>
        <w:numPr>
          <w:ilvl w:val="0"/>
          <w:numId w:val="2"/>
        </w:numPr>
      </w:pPr>
      <w:r>
        <w:rPr/>
        <w:t xml:space="preserve">По завершении отдельных тем передавать выполненные работы преподавателю.</w:t>
      </w:r>
    </w:p>
    <w:p>
      <w:pPr/>
      <w:r>
        <w:rPr/>
        <w:t xml:space="preserve">Для успешного усвоения курса необходимо не только посещать аудиторные занятия, но и вести активную самостоятельную работу. При самостоятельной проработке курса обучающиеся должны:</w:t>
      </w:r>
    </w:p>
    <w:p>
      <w:pPr>
        <w:numPr>
          <w:ilvl w:val="0"/>
          <w:numId w:val="3"/>
        </w:numPr>
      </w:pPr>
      <w:r>
        <w:rPr/>
        <w:t xml:space="preserve">просматривать основные определения и факты;</w:t>
      </w:r>
    </w:p>
    <w:p>
      <w:pPr>
        <w:numPr>
          <w:ilvl w:val="0"/>
          <w:numId w:val="3"/>
        </w:numPr>
      </w:pPr>
      <w:r>
        <w:rPr/>
        <w:t xml:space="preserve">повторить законспектированный на лекционном занятии материал и дополнить его с учетом рекомендованной по данной теме литературы;</w:t>
      </w:r>
    </w:p>
    <w:p>
      <w:pPr>
        <w:numPr>
          <w:ilvl w:val="0"/>
          <w:numId w:val="3"/>
        </w:numPr>
      </w:pPr>
      <w:r>
        <w:rPr/>
        <w:t xml:space="preserve">изучить рекомендованную основную и дополнительную литературу, составлять тезисы, аннотации и конспекты наиболее важных моментов;</w:t>
      </w:r>
    </w:p>
    <w:p>
      <w:pPr>
        <w:numPr>
          <w:ilvl w:val="0"/>
          <w:numId w:val="3"/>
        </w:numPr>
      </w:pPr>
      <w:r>
        <w:rPr/>
        <w:t xml:space="preserve">самостоятельно выполнять задания, аналогичные предлагаемым на занятиях;</w:t>
      </w:r>
    </w:p>
    <w:p>
      <w:pPr>
        <w:numPr>
          <w:ilvl w:val="0"/>
          <w:numId w:val="3"/>
        </w:numPr>
      </w:pPr>
      <w:r>
        <w:rPr/>
        <w:t xml:space="preserve">использовать для самопроверки материалы фонда оценочных средств;</w:t>
      </w:r>
    </w:p>
    <w:p>
      <w:pPr>
        <w:numPr>
          <w:ilvl w:val="0"/>
          <w:numId w:val="3"/>
        </w:numPr>
      </w:pPr>
      <w:r>
        <w:rPr/>
        <w:t xml:space="preserve">выполнять домашние задания по указанию преподавателя.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Лекционный курс предполагает систематизированное изложение основных вопросов учебного плана.</w:t>
      </w:r>
    </w:p>
    <w:p>
      <w:pPr/>
      <w:r>
        <w:rPr/>
        <w:t xml:space="preserve">На первой лекции лектор обязан предупредить студентов, применительно к какому базовому учебнику (учебникам, учебным пособиям) будет прочитан курс.</w:t>
      </w:r>
    </w:p>
    <w:p>
      <w:pPr/>
      <w:r>
        <w:rPr/>
        <w:t xml:space="preserve">Лекционный курс должен давать наибольший объем информации и обеспечивать более глубокое понимание учебных вопросов при значительно меньшей затрате времени, чем это требуется большинству студентов на самостоятельное изучение материала.</w:t>
      </w:r>
    </w:p>
    <w:p>
      <w:pPr/>
      <w:r>
        <w:rPr/>
        <w:t xml:space="preserve">Практические занятия представляют собой детализацию лекционного теоретического материала, проводятся в целях закрепления курса и охватывают все основные разделы.</w:t>
      </w:r>
    </w:p>
    <w:p>
      <w:pPr/>
      <w:r>
        <w:rPr/>
        <w:t xml:space="preserve">Основной формой проведения практических занятий является обсуждение наиболее проблемных и сложных вопросов по отдельным темам, а также разбор примеров и ситуаций в аудиторных условиях. В обязанности преподавателя входят: оказание методической помощи и консультирование студентов по соответствующим темам курса.</w:t>
      </w:r>
    </w:p>
    <w:p>
      <w:pPr/>
      <w:r>
        <w:rPr/>
        <w:t xml:space="preserve">Активность на практических занятиях оценивается по следующим критериям:</w:t>
      </w:r>
    </w:p>
    <w:p>
      <w:pPr>
        <w:numPr>
          <w:ilvl w:val="0"/>
          <w:numId w:val="4"/>
        </w:numPr>
      </w:pPr>
      <w:r>
        <w:rPr/>
        <w:t xml:space="preserve">ответы на вопросы, предлагаемые преподавателем;</w:t>
      </w:r>
    </w:p>
    <w:p>
      <w:pPr>
        <w:numPr>
          <w:ilvl w:val="0"/>
          <w:numId w:val="4"/>
        </w:numPr>
      </w:pPr>
      <w:r>
        <w:rPr/>
        <w:t xml:space="preserve">участие в дискуссиях;</w:t>
      </w:r>
    </w:p>
    <w:p>
      <w:pPr>
        <w:numPr>
          <w:ilvl w:val="0"/>
          <w:numId w:val="4"/>
        </w:numPr>
      </w:pPr>
      <w:r>
        <w:rPr/>
        <w:t xml:space="preserve">выполнение проектных и иных заданий;</w:t>
      </w:r>
    </w:p>
    <w:p>
      <w:pPr>
        <w:numPr>
          <w:ilvl w:val="0"/>
          <w:numId w:val="4"/>
        </w:numPr>
      </w:pPr>
      <w:r>
        <w:rPr/>
        <w:t xml:space="preserve">ассистирование преподавателю в проведении занятий.</w:t>
      </w:r>
    </w:p>
    <w:p>
      <w:pPr/>
      <w:r>
        <w:rPr/>
        <w:t xml:space="preserve">Доклады и оппонирование докладов проверяют степень владения теоретическим материалом, а также корректность и строгость рассуждений.</w:t>
      </w:r>
    </w:p>
    <w:p>
      <w:pPr/>
      <w:r>
        <w:rPr/>
        <w:t xml:space="preserve">При проведении практических занятий реализуется принцип совместной деятельности студентов (обсуждение докладов, кейсов, задач). При этом процесс мышления и усвоения знаний более эффективен в том случае, если решение задачи осуществляется не индивидуально, а предполагает коллективные усилия. Поэтому практическое занятие эффективно тогда, когда проводится как заранее подготовленное совместное обсуждение выдвинутых вопросов. При этом приветствуется общий поиск ответов группой, возможность раскрытия и обоснования различных точек зрения студентов. Такие занятия обеспечивают контроль за усвоением знаний студентами.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5"/>
        </w:numPr>
      </w:pPr>
      <w:r>
        <w:rPr/>
        <w:t xml:space="preserve">Технологии электронного обучения / А.В. Гураков, В.В. Кручинин, Ю.В. Морозова, Д.С. Шульц ; Министерство образования и науки Российской Федерации, Томский Государственный Университет Систем Управления и Радиоэлектроники (ТУСУР). – Томск : ТУСУР, 2016. – 68 с. : ил. – Режим доступа: по подписке. – URL: http://biblioclub.ru/index.php?page=book&amp;id=480813 (дата обращения: 10.08.2019). – Библиогр.: с. 61-65. – Текст : электронный.</w:t>
      </w:r>
    </w:p>
    <w:p>
      <w:pPr>
        <w:numPr>
          <w:ilvl w:val="0"/>
          <w:numId w:val="5"/>
        </w:numPr>
      </w:pPr>
      <w:r>
        <w:rPr/>
        <w:t xml:space="preserve">Мандель, Б.Р. Современные и традиционные технологии педагогического мастерства / Б.Р. Мандель. – Изд. 2-е, стер. – Москва ; Берлин : Директ-Медиа, 2019. – 261 с. : ил., табл. – Режим доступа: по подписке. – URL: http://biblioclub.ru/index.php?page=book&amp;id=364342 (дата обращения: 10.08.2019). – ISBN 978-5-4499-0067-8. – DOI 10.23681/364342. – Текст : электронный.</w:t>
      </w:r>
    </w:p>
    <w:p>
      <w:pPr>
        <w:numPr>
          <w:ilvl w:val="0"/>
          <w:numId w:val="5"/>
        </w:numPr>
      </w:pPr>
      <w:r>
        <w:rPr/>
        <w:t xml:space="preserve">Левкина, А.О. Компьютерные технологии в научно-исследовательской деятельности: учебное пособие для студентов и аспирантов социальногуманитарного профиля / А.О. Левкина. – Москва ; Берлин : Директ-Медиа, 2018. – 119 с. : ил. – Режим доступа: по подписке. – URL: http://biblioclub.ru/index.php?page=book&amp;id=496112 (дата обращения: 10.08.2019). – Библиогр. в кн. – ISBN 978-5-4475-2826-3. – DOI 10.23681/496112. –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6"/>
        </w:numPr>
      </w:pPr>
      <w:r>
        <w:rPr/>
        <w:t xml:space="preserve">Минин, А.Я. Информационные технологии в образовании / А.Я. Минин ; Министерство образования и науки Российской Федерации, Федеральное государственное бюджетное образовательное учреждение высшего профессионального образования «Московский педагогический государственный университет». – Москва : МПГУ, 2016. – 148 с. : ил. – Режим доступа: по подписке. – URL: http://biblioclub.ru/index.php?page=book&amp;id=471000 (дата обращения: 10.08.2019). – Библиогр. в кн. – ISBN 978-5-4263-0464-2. –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7"/>
        </w:numPr>
      </w:pPr>
      <w:r>
        <w:rPr/>
        <w:t xml:space="preserve">Электронные библиотечные системы: «Лань», «Университетская библиотека online», «Znanium».</w:t>
      </w:r>
    </w:p>
    <w:p>
      <w:pPr>
        <w:numPr>
          <w:ilvl w:val="0"/>
          <w:numId w:val="7"/>
        </w:numPr>
      </w:pPr>
      <w:r>
        <w:rPr/>
        <w:t xml:space="preserve">Российский Союз Туриндустрии [Электронный ресурс].— </w:t>
      </w:r>
      <w:r>
        <w:rPr/>
        <w:t xml:space="preserve">URL: </w:t>
      </w:r>
      <w:hyperlink r:id="rId7" w:history="1">
        <w:r>
          <w:rPr/>
          <w:t xml:space="preserve">rostourunion.ru</w:t>
        </w:r>
      </w:hyperlink>
    </w:p>
    <w:p>
      <w:pPr>
        <w:numPr>
          <w:ilvl w:val="0"/>
          <w:numId w:val="7"/>
        </w:numPr>
      </w:pPr>
      <w:r>
        <w:rPr/>
        <w:t xml:space="preserve">Федеральное агентство по туризму [Электронный ресурс].— </w:t>
      </w:r>
      <w:r>
        <w:rPr/>
        <w:t xml:space="preserve">URL: www.russiatourism.ru</w:t>
      </w:r>
    </w:p>
    <w:p>
      <w:pPr>
        <w:numPr>
          <w:ilvl w:val="0"/>
          <w:numId w:val="7"/>
        </w:numPr>
      </w:pPr>
      <w:r>
        <w:rPr/>
        <w:t xml:space="preserve">Электронная газета Российского Союза Туриндустрии [Электронный ресурс].— </w:t>
      </w:r>
      <w:r>
        <w:rPr/>
        <w:t xml:space="preserve">URL: </w:t>
      </w:r>
      <w:hyperlink r:id="rId8" w:history="1">
        <w:r>
          <w:rPr/>
          <w:t xml:space="preserve">ratanews.ru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Электронная информационно-образовательная среда (далее - 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всех уровней в полном объеме независимо от места нахождения обучающихся.</w:t>
      </w:r>
    </w:p>
    <w:p>
      <w:pPr/>
      <w:r>
        <w:rPr/>
        <w:t xml:space="preserve">Составными элементами ЭИОС университета являются:</w:t>
      </w:r>
    </w:p>
    <w:p>
      <w:pPr/>
      <w:r>
        <w:rPr/>
        <w:t xml:space="preserve">            официальный сайт университета (</w:t>
      </w:r>
      <w:hyperlink r:id="rId9" w:history="1">
        <w:r>
          <w:rPr/>
          <w:t xml:space="preserve">https://petrsu.ru</w:t>
        </w:r>
      </w:hyperlink>
      <w:r>
        <w:rPr/>
        <w:t xml:space="preserve">);</w:t>
      </w:r>
    </w:p>
    <w:p>
      <w:pPr/>
      <w:r>
        <w:rPr/>
        <w:t xml:space="preserve">            Информационно-Аналитическая Интегрированная Система управления вузом (ИАИС) (</w:t>
      </w:r>
      <w:hyperlink r:id="rId10" w:history="1">
        <w:r>
          <w:rPr/>
          <w:t xml:space="preserve">https://iias.petrsu.ru</w:t>
        </w:r>
      </w:hyperlink>
      <w:r>
        <w:rPr/>
        <w:t xml:space="preserve">);</w:t>
      </w:r>
    </w:p>
    <w:p>
      <w:pPr/>
      <w:r>
        <w:rPr/>
        <w:t xml:space="preserve">            образовательный портал ПетрГУ (</w:t>
      </w:r>
      <w:hyperlink r:id="rId11" w:history="1">
        <w:r>
          <w:rPr/>
          <w:t xml:space="preserve">https://edu.petrsu.ru</w:t>
        </w:r>
      </w:hyperlink>
      <w:r>
        <w:rPr/>
        <w:t xml:space="preserve">);</w:t>
      </w:r>
    </w:p>
    <w:p>
      <w:pPr/>
      <w:r>
        <w:rPr/>
        <w:t xml:space="preserve">            система электронной поддержки учебных курсов на базе программного обеспечения Moodle (</w:t>
      </w:r>
      <w:hyperlink r:id="rId12" w:history="1">
        <w:r>
          <w:rPr/>
          <w:t xml:space="preserve">https://moodle2.petrsu.ru</w:t>
        </w:r>
      </w:hyperlink>
      <w:r>
        <w:rPr/>
        <w:t xml:space="preserve"> ), WebCT (</w:t>
      </w:r>
      <w:hyperlink r:id="rId13" w:history="1">
        <w:r>
          <w:rPr/>
          <w:t xml:space="preserve">https://webct.ru</w:t>
        </w:r>
      </w:hyperlink>
      <w:r>
        <w:rPr/>
        <w:t xml:space="preserve">), Blackboard (</w:t>
      </w:r>
      <w:hyperlink r:id="rId14" w:history="1">
        <w:r>
          <w:rPr/>
          <w:t xml:space="preserve">https://blackboard.petrsu.ru</w:t>
        </w:r>
      </w:hyperlink>
      <w:r>
        <w:rPr/>
        <w:t xml:space="preserve">), WebTutor (</w:t>
      </w:r>
      <w:hyperlink r:id="rId15" w:history="1">
        <w:r>
          <w:rPr/>
          <w:t xml:space="preserve">https://WebTutor.petrsu.ru</w:t>
        </w:r>
      </w:hyperlink>
      <w:r>
        <w:rPr/>
        <w:t xml:space="preserve">) со встроенными подсистемами тестирования;</w:t>
      </w:r>
    </w:p>
    <w:p>
      <w:pPr/>
      <w:r>
        <w:rPr/>
        <w:t xml:space="preserve">            электронные портфолио обучающихся ПетрГУ (</w:t>
      </w:r>
      <w:hyperlink r:id="rId16" w:history="1">
        <w:r>
          <w:rPr/>
          <w:t xml:space="preserve">https://portfolio.petrsu.ru</w:t>
        </w:r>
      </w:hyperlink>
      <w:r>
        <w:rPr/>
        <w:t xml:space="preserve">);</w:t>
      </w:r>
    </w:p>
    <w:p>
      <w:pPr/>
      <w:r>
        <w:rPr/>
        <w:t xml:space="preserve">            научная библиотека ПетрГУ (</w:t>
      </w:r>
      <w:hyperlink r:id="rId17" w:history="1">
        <w:r>
          <w:rPr/>
          <w:t xml:space="preserve">https://library.petrsu.ru</w:t>
        </w:r>
      </w:hyperlink>
      <w:r>
        <w:rPr/>
        <w:t xml:space="preserve">) и электронный каталог «Фолиант» (</w:t>
      </w:r>
      <w:hyperlink r:id="rId18" w:history="1">
        <w:r>
          <w:rPr/>
          <w:t xml:space="preserve">https://foliant.ru/catalog/psulibr</w:t>
        </w:r>
      </w:hyperlink>
      <w:r>
        <w:rPr/>
        <w:t xml:space="preserve">) ;</w:t>
      </w:r>
    </w:p>
    <w:p>
      <w:pPr/>
      <w:r>
        <w:rPr/>
        <w:t xml:space="preserve">            электронная библиотека Республики Карелия (</w:t>
      </w:r>
      <w:hyperlink r:id="rId19" w:history="1">
        <w:r>
          <w:rPr/>
          <w:t xml:space="preserve">https://elibrary.karelia.ru</w:t>
        </w:r>
      </w:hyperlink>
      <w:r>
        <w:rPr/>
        <w:t xml:space="preserve">);</w:t>
      </w:r>
    </w:p>
    <w:p>
      <w:pPr/>
      <w:r>
        <w:rPr/>
        <w:t xml:space="preserve">            электронные научные журналы ПетрГУ (</w:t>
      </w:r>
      <w:hyperlink r:id="rId20" w:history="1">
        <w:r>
          <w:rPr/>
          <w:t xml:space="preserve">https://petrsu.ru/page/science/journals</w:t>
        </w:r>
      </w:hyperlink>
      <w:r>
        <w:rPr/>
        <w:t xml:space="preserve">);</w:t>
      </w:r>
    </w:p>
    <w:p>
      <w:pPr/>
      <w:r>
        <w:rPr/>
        <w:t xml:space="preserve">            корпоративная сеть ПетрГУ, включая беспроводной сегмент, и корпоративная почта;</w:t>
      </w:r>
    </w:p>
    <w:p>
      <w:pPr/>
      <w:r>
        <w:rPr/>
        <w:t xml:space="preserve">            системы видеоконференцсвязи (TrueConf, Zoom (</w:t>
      </w:r>
      <w:hyperlink r:id="rId21" w:history="1">
        <w:r>
          <w:rPr/>
          <w:t xml:space="preserve">https://zoom.us/</w:t>
        </w:r>
      </w:hyperlink>
      <w:r>
        <w:rPr/>
        <w:t xml:space="preserve">) и др.), сервер видеотрансляций Wowza;</w:t>
      </w:r>
    </w:p>
    <w:p>
      <w:pPr/>
      <w:r>
        <w:rPr/>
        <w:t xml:space="preserve">            официальные сообщества университета в социальных сетях («Вконтакте» (</w:t>
      </w:r>
      <w:hyperlink r:id="rId22" w:history="1">
        <w:r>
          <w:rPr/>
          <w:t xml:space="preserve">https://vk.com/petrsu_ru</w:t>
        </w:r>
      </w:hyperlink>
      <w:r>
        <w:rPr/>
        <w:t xml:space="preserve"> ), «Facebook» (</w:t>
      </w:r>
      <w:hyperlink r:id="rId23" w:history="1">
        <w:r>
          <w:rPr/>
          <w:t xml:space="preserve">https://www.facebook.com/petrsunews</w:t>
        </w:r>
      </w:hyperlink>
      <w:r>
        <w:rPr/>
        <w:t xml:space="preserve"> ),«Twitter» (</w:t>
      </w:r>
      <w:hyperlink r:id="rId24" w:history="1">
        <w:r>
          <w:rPr/>
          <w:t xml:space="preserve">https://twitter.com/PetrSU_news</w:t>
        </w:r>
      </w:hyperlink>
      <w:r>
        <w:rPr/>
        <w:t xml:space="preserve">),«Youtube» (</w:t>
      </w:r>
      <w:hyperlink r:id="rId25" w:history="1">
        <w:r>
          <w:rPr/>
          <w:t xml:space="preserve">https://www.youtube.com/channel/UCF6X8SpjmB8v2X6KGZBJNwA</w:t>
        </w:r>
      </w:hyperlink>
      <w:r>
        <w:rPr/>
        <w:t xml:space="preserve">) и др.;</w:t>
      </w:r>
    </w:p>
    <w:p>
      <w:pPr/>
      <w:r>
        <w:rPr/>
        <w:t xml:space="preserve">            внешние электронные библиотечные системы («Университетская библиотека онлайн» (</w:t>
      </w:r>
      <w:hyperlink r:id="rId26" w:history="1">
        <w:r>
          <w:rPr/>
          <w:t xml:space="preserve">https://www.biblioclub.ru</w:t>
        </w:r>
      </w:hyperlink>
      <w:r>
        <w:rPr/>
        <w:t xml:space="preserve">), Издательств «Лань» (</w:t>
      </w:r>
      <w:hyperlink r:id="rId27" w:history="1">
        <w:r>
          <w:rPr/>
          <w:t xml:space="preserve">https://e.lanbook.com</w:t>
        </w:r>
      </w:hyperlink>
      <w:r>
        <w:rPr/>
        <w:t xml:space="preserve">), «Консультант студента.</w:t>
      </w:r>
    </w:p>
    <w:p>
      <w:pPr/>
      <w:r>
        <w:rPr/>
        <w:t xml:space="preserve">Студенческая электронная библиотека» </w:t>
      </w:r>
      <w:hyperlink r:id="rId28" w:history="1">
        <w:r>
          <w:rPr/>
          <w:t xml:space="preserve">https://www.studentlibrary.ru</w:t>
        </w:r>
      </w:hyperlink>
      <w:r>
        <w:rPr/>
        <w:t xml:space="preserve">),  «Консультант врача: электронная медицинская библиотека» (</w:t>
      </w:r>
      <w:hyperlink r:id="rId29" w:history="1">
        <w:r>
          <w:rPr/>
          <w:t xml:space="preserve">https://www.rosmedlib.ru</w:t>
        </w:r>
      </w:hyperlink>
      <w:r>
        <w:rPr/>
        <w:t xml:space="preserve">));</w:t>
      </w:r>
    </w:p>
    <w:p>
      <w:pPr/>
      <w:r>
        <w:rPr/>
        <w:t xml:space="preserve">            внешние образовательные платформы ("Юрайт" (</w:t>
      </w:r>
      <w:hyperlink r:id="rId30" w:history="1">
        <w:r>
          <w:rPr/>
          <w:t xml:space="preserve">https://urait.ru/</w:t>
        </w:r>
      </w:hyperlink>
      <w:r>
        <w:rPr/>
        <w:t xml:space="preserve">), E-nano (</w:t>
      </w:r>
      <w:hyperlink r:id="rId31" w:history="1">
        <w:r>
          <w:rPr/>
          <w:t xml:space="preserve">https://edunano.ru/</w:t>
        </w:r>
      </w:hyperlink>
      <w:r>
        <w:rPr/>
        <w:t xml:space="preserve">) и др.)</w:t>
      </w:r>
    </w:p>
    <w:p>
      <w:pPr/>
      <w:r>
        <w:rPr/>
        <w:t xml:space="preserve">            система «Антиплагиат.ВУЗ» (</w:t>
      </w:r>
      <w:hyperlink r:id="rId32" w:history="1">
        <w:r>
          <w:rPr/>
          <w:t xml:space="preserve">https://petrsu.antiplagiat.ru</w:t>
        </w:r>
      </w:hyperlink>
      <w:r>
        <w:rPr/>
        <w:t xml:space="preserve">);</w:t>
      </w:r>
    </w:p>
    <w:p>
      <w:pPr/>
      <w:r>
        <w:rPr/>
        <w:t xml:space="preserve">            иные компоненты, необходимые для организации учебного процесса и взаимодействия компонентов ЭИОС.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8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8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CEE2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0D122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447E0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7D22B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FF956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FA0FB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CD625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7FCAC6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rostourunion.ru" TargetMode="External"/><Relationship Id="rId8" Type="http://schemas.openxmlformats.org/officeDocument/2006/relationships/hyperlink" Target="http://www.ratanews.ru" TargetMode="External"/><Relationship Id="rId9" Type="http://schemas.openxmlformats.org/officeDocument/2006/relationships/hyperlink" Target="#" TargetMode="External"/><Relationship Id="rId10" Type="http://schemas.openxmlformats.org/officeDocument/2006/relationships/hyperlink" Target="https://iias.petrsu.ru" TargetMode="External"/><Relationship Id="rId11" Type="http://schemas.openxmlformats.org/officeDocument/2006/relationships/hyperlink" Target="https://edu.petrsu.ru" TargetMode="External"/><Relationship Id="rId12" Type="http://schemas.openxmlformats.org/officeDocument/2006/relationships/hyperlink" Target="https://moodle2.petrsu.ru" TargetMode="External"/><Relationship Id="rId13" Type="http://schemas.openxmlformats.org/officeDocument/2006/relationships/hyperlink" Target="https://webct.ru" TargetMode="External"/><Relationship Id="rId14" Type="http://schemas.openxmlformats.org/officeDocument/2006/relationships/hyperlink" Target="https://blackboard.petrsu.ru" TargetMode="External"/><Relationship Id="rId15" Type="http://schemas.openxmlformats.org/officeDocument/2006/relationships/hyperlink" Target="https://WebTutor.petrsu.ru" TargetMode="External"/><Relationship Id="rId16" Type="http://schemas.openxmlformats.org/officeDocument/2006/relationships/hyperlink" Target="https://portfolio.petrsu.ru" TargetMode="External"/><Relationship Id="rId17" Type="http://schemas.openxmlformats.org/officeDocument/2006/relationships/hyperlink" Target="https://library.petrsu.ru" TargetMode="External"/><Relationship Id="rId18" Type="http://schemas.openxmlformats.org/officeDocument/2006/relationships/hyperlink" Target="https://foliant.ru/catalog/psulibr" TargetMode="External"/><Relationship Id="rId19" Type="http://schemas.openxmlformats.org/officeDocument/2006/relationships/hyperlink" Target="https://elibrary.karelia.ru" TargetMode="External"/><Relationship Id="rId20" Type="http://schemas.openxmlformats.org/officeDocument/2006/relationships/hyperlink" Target="/page/science/journals" TargetMode="External"/><Relationship Id="rId21" Type="http://schemas.openxmlformats.org/officeDocument/2006/relationships/hyperlink" Target="https://zoom.us/" TargetMode="External"/><Relationship Id="rId22" Type="http://schemas.openxmlformats.org/officeDocument/2006/relationships/hyperlink" Target="https://vk.com/petrsu_ru" TargetMode="External"/><Relationship Id="rId23" Type="http://schemas.openxmlformats.org/officeDocument/2006/relationships/hyperlink" Target="https://www.facebook.com/petrsunews" TargetMode="External"/><Relationship Id="rId24" Type="http://schemas.openxmlformats.org/officeDocument/2006/relationships/hyperlink" Target="https://twitter.com/PetrSU_news" TargetMode="External"/><Relationship Id="rId25" Type="http://schemas.openxmlformats.org/officeDocument/2006/relationships/hyperlink" Target="https://www.youtube.com/channel/UCF6X8SpjmB8v2X6KGZBJNwA" TargetMode="External"/><Relationship Id="rId26" Type="http://schemas.openxmlformats.org/officeDocument/2006/relationships/hyperlink" Target="https://www.biblioclub.ru" TargetMode="External"/><Relationship Id="rId27" Type="http://schemas.openxmlformats.org/officeDocument/2006/relationships/hyperlink" Target="https://e.lanbook.com" TargetMode="External"/><Relationship Id="rId28" Type="http://schemas.openxmlformats.org/officeDocument/2006/relationships/hyperlink" Target="https://www.studentlibrary.ru" TargetMode="External"/><Relationship Id="rId29" Type="http://schemas.openxmlformats.org/officeDocument/2006/relationships/hyperlink" Target="https://www.rosmedlib.ru" TargetMode="External"/><Relationship Id="rId30" Type="http://schemas.openxmlformats.org/officeDocument/2006/relationships/hyperlink" Target="https://urait.ru/" TargetMode="External"/><Relationship Id="rId31" Type="http://schemas.openxmlformats.org/officeDocument/2006/relationships/hyperlink" Target="https://edunano.ru/" TargetMode="External"/><Relationship Id="rId32" Type="http://schemas.openxmlformats.org/officeDocument/2006/relationships/hyperlink" Target="https://petrsu.antiplagia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2026-04-24T02:09:49+03:00</dcterms:created>
  <dcterms:modified xsi:type="dcterms:W3CDTF">2026-04-24T02:09:49+03:00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