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Кузнецова Наталья Юрьевна, доцент, кафедра туризма; заместитель директора по научной работе, Институт физической культуры, спорта и туризма; доцент, отдел подготовки и аттестации НПР; специалист, Учебно-методический центр Института физической культуры, спорта и туризма; куратор, Студенческое научное общество Института физической культуры, спорта и туризма, кандидат исторических наук; Гребенникова Наталья Евгеньевна, специалист, Учебно-методический центр Института физической культуры, спорта и туризма; старший преподаватель, кафедра туризма; старший преподаватель, кафедра туризма; Колесникова Наталья Владимировна, заведующий кафедрой, кафедра туризма, кандидат экономических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Проектно-технологическая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проектно-технологической практики – формирование профессиональных умений самостоятельного проектирования</w:t>
      </w:r>
      <w:r>
        <w:rPr/>
        <w:t xml:space="preserve"> </w:t>
      </w:r>
      <w:r>
        <w:rPr/>
        <w:t xml:space="preserve"> на основе анализа исходных данных, последующего</w:t>
      </w:r>
      <w:r>
        <w:rPr/>
        <w:t xml:space="preserve"> </w:t>
      </w:r>
      <w:r>
        <w:rPr/>
        <w:t xml:space="preserve"> обоснования</w:t>
      </w:r>
      <w:r>
        <w:rPr/>
        <w:t xml:space="preserve"> </w:t>
      </w:r>
      <w:r>
        <w:rPr/>
        <w:t xml:space="preserve"> принимаемых проектных решений, формирование</w:t>
      </w:r>
      <w:r>
        <w:rPr/>
        <w:t xml:space="preserve"> </w:t>
      </w:r>
      <w:r>
        <w:rPr/>
        <w:t xml:space="preserve">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Задачами учебной проектно-технологической практики являются: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изучение опыта применения информационных и программных средств, применяемых в</w:t>
      </w:r>
      <w:r>
        <w:rPr/>
        <w:t xml:space="preserve"> </w:t>
      </w:r>
      <w:r>
        <w:rPr/>
        <w:t xml:space="preserve"> разработке и управлении проектной деятельностью;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получение базовых навыков научно-исследовательской и проектно-технологической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умений практического использования известных технологий, моделей и методов реализации проектной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опыта составления проектной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стационарная.</w:t>
      </w:r>
    </w:p>
    <w:p>
      <w:pPr/>
      <w:r>
        <w:rPr/>
        <w:t xml:space="preserve">Практика проводится в Институте физической культуры, спорта и туризма ПетрГУ на кафедре безопасности жизнедеятельности и здоровьесберегающих технологий.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оказывать услуги по приему, обработке и реализации заказов на туры, услуги экскурсионного обслуживания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Обладает знанием этики делового общения, правил делового протокола и этикета, основ психологии;
ПК-3.2. Обладает знанием правил приема и параметров предмета заказа, условий его выполнения; 
ПК-3.3. Знает технологии компьютерной обработки заказов; 
ПК-3.4. Знает способы формирования экскурсионных групп в соответствии с поступившими заказами; 
ПК-3.5. Знает требования к качеству реализации услуг; 
ПК-3.6. Знает правила соблюдения протокольных мероприятий при реализации услуг экскурсионного обслуживания; 
ПК-3.7. Знает содержание и правила проведения экскурсий, принципы организации, методики и техники проведения экскурсий, техники публичных выступлений; 
ПК-3.8. Умеет осуществлять индивидуальное консультирование клиентов по правилам приема и предмету заказа; 
ПК-3.9. Умеет осуществлять индивидуальное консультирование клиентов по правилам приема и предмету заказа; 
ПК-3.10. Умеет корректировать сроки и условия выполнения заказов; 
ПК-3.11. Умеет оформлять и учитывать заказы на экскурсии;
ПК-3.12. Умеет применять технологию компьютерной обработки заказов на экскурсии; 
ПК-3.13. Умеет определять цель и выбирать тему экскурсии; 
ПК-3.14. Умеет составлять экскурсионные программы, выбирать экскурсионные объекты для будущей экскурсии, осуществлять подготовку текста экскурсии и составлять методическую разработку экскурсии, а также ее технологическую карту; ПК-3.15. Умеет комплектовать "портфель экскурсовода",  подбирать литературные источники по теме экскурсии;
ПК-3.16. Владеет навыками  приема заказов на экскурсии; 
ПК-3.17.  Владеет навыками координации подразделений по реализации заказов, контроля выполнения поступивших заказов.
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представлению и защите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проекта. Виды проектов и принципы построения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Определение темы и проблемы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целевой группы проекта, изучение проблемы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Формулирование цели и задач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Набор команды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диаграммы Ганта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Смета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показателей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аннотации. Название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представления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Деловые и ролевые игры, разбор конкретных ситуаций, тренинги, мозговой штурм, проблемное обучение, дебаты, метод проектов, дерево решений, обсуждение вполголоса, «Думай и слушай», панельная дискуссия, программа саморазвития.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(проектно-технологической) практики 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1) Знакомятся с понятием проекта, его видами и принципами построения.</w:t>
      </w:r>
    </w:p>
    <w:p>
      <w:pPr/>
      <w:r>
        <w:rPr/>
        <w:t xml:space="preserve">2) Приобретают умения по определению темы и проблемы проекта</w:t>
      </w:r>
    </w:p>
    <w:p>
      <w:pPr/>
      <w:r>
        <w:rPr/>
        <w:t xml:space="preserve">3) Приобретают умения по определению целевой группы проекта, изучению проблемы</w:t>
      </w:r>
    </w:p>
    <w:p>
      <w:pPr/>
      <w:r>
        <w:rPr/>
        <w:t xml:space="preserve">4) Формулируют цели и задач проекта</w:t>
      </w:r>
    </w:p>
    <w:p>
      <w:pPr/>
      <w:r>
        <w:rPr/>
        <w:t xml:space="preserve">5) Приобретают умения по набору команды проекта</w:t>
      </w:r>
    </w:p>
    <w:p>
      <w:pPr/>
      <w:r>
        <w:rPr/>
        <w:t xml:space="preserve">6) Приобретают умения по составлению диаграммы Ганта</w:t>
      </w:r>
    </w:p>
    <w:p>
      <w:pPr/>
      <w:r>
        <w:rPr/>
        <w:t xml:space="preserve">7) Учатся составлять смету проекта</w:t>
      </w:r>
    </w:p>
    <w:p>
      <w:pPr/>
      <w:r>
        <w:rPr/>
        <w:t xml:space="preserve">8) Учатся определять количественные и качественные показатели проекта</w:t>
      </w:r>
    </w:p>
    <w:p>
      <w:pPr/>
      <w:r>
        <w:rPr/>
        <w:t xml:space="preserve">9) Учатся составлять аннотации и придумывать название проектов</w:t>
      </w:r>
    </w:p>
    <w:p>
      <w:pPr/>
      <w:r>
        <w:rPr/>
        <w:t xml:space="preserve">10) Знакомятся со способами представления проекта</w:t>
      </w:r>
    </w:p>
    <w:p>
      <w:pPr/>
      <w:r>
        <w:rPr/>
        <w:t xml:space="preserve">11) Защищают групповые проекты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проекта по итогам учебной (проектно-технологической) практики.</w:t>
      </w:r>
    </w:p>
    <w:p>
      <w:pPr/>
      <w:r>
        <w:rPr/>
        <w:t xml:space="preserve">Требования к презентации для защиты проектов:</w:t>
      </w:r>
    </w:p>
    <w:p>
      <w:pPr/>
      <w:r>
        <w:rPr/>
        <w:t xml:space="preserve">Титульный лист (название проекта, организация, автор, город, год)</w:t>
      </w:r>
      <w:br/>
      <w:r>
        <w:rPr/>
        <w:t xml:space="preserve">Проблема/цель/задачи проекта</w:t>
      </w:r>
      <w:br/>
      <w:r>
        <w:rPr/>
        <w:t xml:space="preserve">Описание проекта</w:t>
      </w:r>
      <w:br/>
      <w:r>
        <w:rPr/>
        <w:t xml:space="preserve">Команда проекта</w:t>
      </w:r>
      <w:br/>
      <w:r>
        <w:rPr/>
        <w:t xml:space="preserve">Целевая аудитория проекта</w:t>
      </w:r>
      <w:br/>
      <w:r>
        <w:rPr/>
        <w:t xml:space="preserve">Смета проекта</w:t>
      </w:r>
      <w:br/>
      <w:r>
        <w:rPr/>
        <w:t xml:space="preserve">Диаграмма Ганта</w:t>
      </w:r>
      <w:br/>
      <w:r>
        <w:rPr/>
        <w:t xml:space="preserve">Количественные и качественные показатели проекта</w:t>
      </w:r>
      <w:br/>
      <w:br/>
      <w:r>
        <w:rPr/>
        <w:t xml:space="preserve">В презентации рекомендуется использовать не более 15 слайдов. На защиту отводится не более 10 минут.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Защита проекта проходит в конце практики в форме защиты презентации,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проходит в конце семестра в форме защиты групповых проектов по итогам учебной (проектно-технологической) практики, оформленных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Гамма Э., Хелм Р., Джонсон Р., Влиссидес Дж. Приемы объектно-ориентированного проектирования. Паттерны проектирования. — СПб.: Питер, 2013. — 368 с.: ил. </w:t>
      </w:r>
      <w:r>
        <w:rPr/>
        <w:t xml:space="preserve">Режимдоступа: http://ibooks.ru/reading.php?productid=338602</w:t>
      </w:r>
    </w:p>
    <w:p>
      <w:pPr>
        <w:numPr>
          <w:ilvl w:val="0"/>
          <w:numId w:val="1"/>
        </w:numPr>
      </w:pPr>
      <w:r>
        <w:rPr/>
        <w:t xml:space="preserve">Управление проектами для профессионалов: Руководство по подготовке к сдаче сертификационного экзамена: Пер. с англ. / М. В. Ньюэлл ; пер. : А. К. Казаков. - 3-е изд. - М. : КУДИЦ-ОБРАЗ, 2006. - 416 с. 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Управление проектами: Учебное пособие для вузов / М. В. Романова. - М.: ФОРУМ, 2007; М. : Инфра-М, 2007. - 253[2] с. :</w:t>
      </w:r>
    </w:p>
    <w:p>
      <w:pPr>
        <w:numPr>
          <w:ilvl w:val="0"/>
          <w:numId w:val="1"/>
        </w:numPr>
      </w:pPr>
      <w:r>
        <w:rPr/>
        <w:t xml:space="preserve">A Guide to the Project Management Body of Knowledge (</w:t>
      </w:r>
      <w:r>
        <w:rPr>
          <w:i w:val="1"/>
          <w:iCs w:val="1"/>
        </w:rPr>
        <w:t xml:space="preserve">PMBOK® Guide</w:t>
      </w:r>
      <w:r>
        <w:rPr/>
        <w:t xml:space="preserve">) — Fourth Edition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Павлов А.Ю. Объектно-ориентированное проектирование: Методические указания. - Самара: СамГАПС, 2004. - 28 с.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window</w:t>
      </w:r>
      <w:r>
        <w:rPr/>
        <w:t xml:space="preserve">.</w:t>
      </w:r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resource</w:t>
      </w:r>
      <w:r>
        <w:rPr/>
        <w:t xml:space="preserve">/244/29244</w:t>
      </w:r>
    </w:p>
    <w:p>
      <w:pPr>
        <w:numPr>
          <w:ilvl w:val="0"/>
          <w:numId w:val="2"/>
        </w:numPr>
      </w:pPr>
      <w:r>
        <w:rPr/>
        <w:t xml:space="preserve">Новиков Ф.А. Учебно-методическое пособие по дисциплине «Анализ и проектирование на </w:t>
      </w:r>
      <w:r>
        <w:rPr/>
        <w:t xml:space="preserve">UML</w:t>
      </w:r>
      <w:r>
        <w:rPr/>
        <w:t xml:space="preserve">» СПб.: ИТМО. 2007— Электронное издание. </w:t>
      </w:r>
      <w:r>
        <w:rPr/>
        <w:t xml:space="preserve">Режимдоступа: http://window.edu.ru/resource/371/60371</w:t>
      </w:r>
    </w:p>
    <w:p>
      <w:pPr>
        <w:numPr>
          <w:ilvl w:val="0"/>
          <w:numId w:val="2"/>
        </w:numPr>
      </w:pPr>
      <w:r>
        <w:rPr/>
        <w:t xml:space="preserve">Новиков Ф.А. Лабораторный практикум по дисциплине "Анализ и проектирование на </w:t>
      </w:r>
      <w:r>
        <w:rPr/>
        <w:t xml:space="preserve">UML</w:t>
      </w:r>
      <w:r>
        <w:rPr/>
        <w:t xml:space="preserve">" СПб.: ИТМО. 2007 — Электронное издание. </w:t>
      </w:r>
      <w:r>
        <w:rPr/>
        <w:t xml:space="preserve">Режимдоступа: http://window.edu.ru/resource/386/60386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Высшее образование в России: Научно-педагогический журнал Министерства образования и науки РФ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informika</w:t>
      </w:r>
      <w:r>
        <w:rPr/>
        <w:t xml:space="preserve">/</w:t>
      </w:r>
      <w:r>
        <w:rPr/>
        <w:t xml:space="preserve">ru</w:t>
      </w:r>
      <w:r>
        <w:rPr/>
        <w:t xml:space="preserve">/</w:t>
      </w:r>
      <w:r>
        <w:rPr/>
        <w:t xml:space="preserve">windws</w:t>
      </w:r>
      <w:r>
        <w:rPr/>
        <w:t xml:space="preserve">/</w:t>
      </w:r>
      <w:r>
        <w:rPr/>
        <w:t xml:space="preserve">magaz</w:t>
      </w:r>
      <w:r>
        <w:rPr/>
        <w:t xml:space="preserve">/</w:t>
      </w:r>
      <w:r>
        <w:rPr/>
        <w:t xml:space="preserve">higher</w:t>
      </w:r>
    </w:p>
    <w:p>
      <w:pPr>
        <w:numPr>
          <w:ilvl w:val="0"/>
          <w:numId w:val="3"/>
        </w:numPr>
      </w:pPr>
      <w:r>
        <w:rPr/>
        <w:t xml:space="preserve">ГНПБ – каталог Интернет-ресурсов, каталог библиотека имени К.Д. Ушинского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gupbu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kat</w:t>
      </w:r>
      <w:r>
        <w:rPr/>
        <w:t xml:space="preserve">-0.</w:t>
      </w:r>
      <w:r>
        <w:rPr/>
        <w:t xml:space="preserve">htm</w:t>
      </w:r>
    </w:p>
    <w:p>
      <w:pPr>
        <w:numPr>
          <w:ilvl w:val="0"/>
          <w:numId w:val="3"/>
        </w:numPr>
      </w:pPr>
      <w:r>
        <w:rPr/>
        <w:t xml:space="preserve">Дайджест по страницам педагогических журналов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dvgu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umu</w:t>
      </w:r>
      <w:r>
        <w:rPr/>
        <w:t xml:space="preserve">/</w:t>
      </w:r>
      <w:r>
        <w:rPr/>
        <w:t xml:space="preserve">didjest</w:t>
      </w:r>
      <w:r>
        <w:rPr/>
        <w:t xml:space="preserve">/</w:t>
      </w:r>
      <w:r>
        <w:rPr/>
        <w:t xml:space="preserve">spisjour</w:t>
      </w:r>
      <w:r>
        <w:rPr/>
        <w:t xml:space="preserve">/</w:t>
      </w:r>
      <w:r>
        <w:rPr/>
        <w:t xml:space="preserve">htm</w:t>
      </w:r>
    </w:p>
    <w:p>
      <w:pPr>
        <w:numPr>
          <w:ilvl w:val="0"/>
          <w:numId w:val="3"/>
        </w:numPr>
      </w:pPr>
      <w:r>
        <w:rPr/>
        <w:t xml:space="preserve">Министерство образования и науки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mon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3"/>
        </w:numPr>
      </w:pPr>
      <w:r>
        <w:rPr/>
        <w:t xml:space="preserve">Портал «Гуманитарное образование» </w:t>
      </w:r>
      <w:hyperlink r:id="rId7" w:history="1">
        <w:r>
          <w:rPr/>
          <w:t xml:space="preserve">http://www.humanities.edu.ru</w:t>
        </w:r>
      </w:hyperlink>
    </w:p>
    <w:p>
      <w:pPr>
        <w:numPr>
          <w:ilvl w:val="0"/>
          <w:numId w:val="3"/>
        </w:numPr>
      </w:pPr>
      <w:r>
        <w:rPr/>
        <w:t xml:space="preserve">Федеральный портал «Российское образование» </w:t>
      </w:r>
      <w:hyperlink r:id="rId8" w:history="1">
        <w:r>
          <w:rPr/>
          <w:t xml:space="preserve">http://www.edu.ru</w:t>
        </w:r>
      </w:hyperlink>
    </w:p>
    <w:p>
      <w:pPr>
        <w:numPr>
          <w:ilvl w:val="0"/>
          <w:numId w:val="3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9" w:history="1">
        <w:r>
          <w:rPr/>
          <w:t xml:space="preserve">http://school-collection.edu.ru</w:t>
        </w:r>
      </w:hyperlink>
    </w:p>
    <w:p>
      <w:pPr>
        <w:numPr>
          <w:ilvl w:val="0"/>
          <w:numId w:val="3"/>
        </w:numPr>
      </w:pPr>
      <w:r>
        <w:rPr/>
        <w:t xml:space="preserve">Проектная деятельность для начинающих </w:t>
      </w:r>
      <w:hyperlink r:id="rId10" w:history="1">
        <w:r>
          <w:rPr/>
          <w:t xml:space="preserve">http://proekt-volzsky.ucoz.ru/</w:t>
        </w:r>
      </w:hyperlink>
    </w:p>
    <w:p>
      <w:pPr>
        <w:numPr>
          <w:ilvl w:val="0"/>
          <w:numId w:val="3"/>
        </w:numPr>
      </w:pPr>
      <w:r>
        <w:rPr/>
        <w:t xml:space="preserve">Технология проектной деятельности </w:t>
      </w:r>
      <w:hyperlink r:id="rId11" w:history="1">
        <w:r>
          <w:rPr/>
          <w:t xml:space="preserve">http://www.depedu.yar.ru/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72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C8C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AEC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umanities.edu.ru" TargetMode="External"/><Relationship Id="rId8" Type="http://schemas.openxmlformats.org/officeDocument/2006/relationships/hyperlink" Target="http://www.edu.ru" TargetMode="External"/><Relationship Id="rId9" Type="http://schemas.openxmlformats.org/officeDocument/2006/relationships/hyperlink" Target="http://school-collection.edu.ru" TargetMode="External"/><Relationship Id="rId10" Type="http://schemas.openxmlformats.org/officeDocument/2006/relationships/hyperlink" Target="http://proekt-volzsky.ucoz.ru/" TargetMode="External"/><Relationship Id="rId11" Type="http://schemas.openxmlformats.org/officeDocument/2006/relationships/hyperlink" Target="http://www.depedu.yar.ru/" TargetMode="External"/><Relationship Id="rId1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2026-04-21T00:31:55+03:00</dcterms:created>
  <dcterms:modified xsi:type="dcterms:W3CDTF">2026-04-21T00:31:55+03:00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