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МОДЕЛИРОВАНИЕ ПРОЦЕССОВ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Моделирование процессов в индустрии туризма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Организационное проектирование и управление проектами, Информационные технологии в индустрии туризма.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как метод исследования процессов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имитационного моделирования в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по теме «Основы теории моделирования».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Принятие экзамена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«Моделирование процессов в индустрии туризма» используются личностно-ориентированные технологии и технологии развития критического мышления в следующих формах: разбор конкретных ситуаций; беседа; работа в группах. Также используются технологии активного обучения (выполнение эссе, коллоквиум, собеседование); технология проблемного обучения (проблемное изложение материала, исследовательские методики); технологии коллективного взаимодействия (диалог и др.) В рамках дисциплины используются интерактивные образовательные технологии обучения с использованием презентаций Power Point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эссе; кейс-задача;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</w:t>
      </w:r>
      <w:r>
        <w:rPr/>
        <w:t xml:space="preserve"> по теме 1 «Организация и управление региональным туризмом»</w:t>
      </w:r>
    </w:p>
    <w:p>
      <w:pPr/>
      <w:r>
        <w:rPr>
          <w:b w:val="1"/>
          <w:bCs w:val="1"/>
        </w:rPr>
        <w:t xml:space="preserve">Вопросы для коллоквиума по теме 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 2. Региональный менеджмент как управленческая наука и практика.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Субъекты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Особенность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Задачи регионального менеджмента туризма.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Структура управления туризмом в Республике Карелия.</w:t>
      </w:r>
    </w:p>
    <w:p>
      <w:pPr>
        <w:numPr>
          <w:ilvl w:val="0"/>
          <w:numId w:val="1"/>
        </w:numPr>
      </w:pPr>
      <w:r>
        <w:rPr/>
        <w:t xml:space="preserve">Функции региональных учреждений в сфере туризма.</w:t>
      </w:r>
    </w:p>
    <w:p>
      <w:pPr>
        <w:numPr>
          <w:ilvl w:val="0"/>
          <w:numId w:val="1"/>
        </w:numPr>
      </w:pPr>
      <w:r>
        <w:rPr/>
        <w:t xml:space="preserve">Общественные организации сферы туризм, из роль в управлении отраслью.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участия в коллоквиуме: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магистрант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магистрант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Эссе</w:t>
      </w:r>
    </w:p>
    <w:p>
      <w:pPr/>
      <w:r>
        <w:rPr/>
        <w:t xml:space="preserve">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набранный на компьютере вариант;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зачтено»</w:t>
      </w:r>
      <w:r>
        <w:rPr/>
        <w:t xml:space="preserve">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SWOT</w:t>
      </w:r>
      <w:r>
        <w:rPr>
          <w:b w:val="1"/>
          <w:bCs w:val="1"/>
        </w:rPr>
        <w:t xml:space="preserve">-анализ развития туризма в регионе. </w:t>
      </w:r>
    </w:p>
    <w:p>
      <w:pPr/>
      <w:r>
        <w:rPr/>
        <w:t xml:space="preserve">Выбрать район исследования (муниципальный район или республика в целом). Осмыслить реальную профессионально-ориентированную ситуацию в индустрии туризма данного района и провести SWOT-анализ, выделив положительные и отрицательные факторы развития туризма, оценить угрозы и возможности. Сделать выводы. 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Разработка проекта программы развития туризма в регионе.</w:t>
      </w:r>
    </w:p>
    <w:p>
      <w:pPr/>
      <w:r>
        <w:rPr/>
        <w:t xml:space="preserve">На основе предыдущего исследования и SWOT-анализа развития туризма на территории, отдельно взятого МО или республики в целом, опираясь на макет целевой программы, разработать вариант программы.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Магистрант самостоятельно выполнил теоретическую и практическую части работы, сделал собственное заключение.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Магистрант самостоятельно выполнил теоретическую и практическую части работы, сделал собственное заключение.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Магистрант самостоятельно выполнил теоретическую и практическую части работы, в заключении не отразил свое мнение, на вопросы не ответил.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</w:t>
            </w:r>
            <w:r>
              <w:rPr>
                <w:i w:val="1"/>
                <w:iCs w:val="1"/>
              </w:rPr>
              <w:t xml:space="preserve"> </w:t>
            </w:r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Магистрант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Сообщение на тему </w:t>
      </w:r>
      <w:r>
        <w:rPr>
          <w:b w:val="1"/>
          <w:bCs w:val="1"/>
        </w:rPr>
        <w:t xml:space="preserve">«Лучшие практики ГЧП в туризме».</w:t>
      </w:r>
    </w:p>
    <w:p>
      <w:pPr/>
      <w:r>
        <w:rPr>
          <w:i w:val="1"/>
          <w:iCs w:val="1"/>
        </w:rPr>
        <w:t xml:space="preserve">Вопросы  :</w:t>
      </w:r>
    </w:p>
    <w:p>
      <w:pPr>
        <w:numPr>
          <w:ilvl w:val="0"/>
          <w:numId w:val="4"/>
        </w:numPr>
      </w:pPr>
      <w:r>
        <w:rPr/>
        <w:t xml:space="preserve">Примеры государственно-частного партнерства в республике.</w:t>
      </w:r>
    </w:p>
    <w:p>
      <w:pPr>
        <w:numPr>
          <w:ilvl w:val="0"/>
          <w:numId w:val="4"/>
        </w:numPr>
      </w:pPr>
      <w:r>
        <w:rPr/>
        <w:t xml:space="preserve">Сравнение несколько вариантов такого партнерства и оценка эффективности сотрудничества для перспектив развития туризма (улучшение качества оказываемых услуг, создание нового перспективного объекта туристского паломничества, развитие территории, создание новых рабочих мест и т.д.).</w:t>
      </w:r>
    </w:p>
    <w:p>
      <w:pPr>
        <w:numPr>
          <w:ilvl w:val="0"/>
          <w:numId w:val="4"/>
        </w:numPr>
      </w:pPr>
      <w:r>
        <w:rPr/>
        <w:t xml:space="preserve">Другие возможности ГЧП.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участия в дискуссии: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/>
      <w:r>
        <w:rPr>
          <w:b w:val="1"/>
          <w:bCs w:val="1"/>
        </w:rPr>
        <w:t xml:space="preserve">Примерный перечень вопросов к экзамену за период обучения</w:t>
      </w:r>
    </w:p>
    <w:p>
      <w:pPr>
        <w:numPr>
          <w:ilvl w:val="0"/>
          <w:numId w:val="5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5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Субъекты регионального менеджмента.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Методологическая база регионального менеджмента.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Задачи регионального менеджмента туризма. </w:t>
      </w:r>
    </w:p>
    <w:p>
      <w:pPr>
        <w:numPr>
          <w:ilvl w:val="0"/>
          <w:numId w:val="5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5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5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Виды планирования. </w:t>
      </w:r>
    </w:p>
    <w:p>
      <w:pPr>
        <w:numPr>
          <w:ilvl w:val="0"/>
          <w:numId w:val="5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Методы планирования. </w:t>
      </w:r>
    </w:p>
    <w:p>
      <w:pPr>
        <w:numPr>
          <w:ilvl w:val="0"/>
          <w:numId w:val="5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5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5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Региональный мониторинг развития туризма.</w:t>
      </w:r>
    </w:p>
    <w:p>
      <w:pPr>
        <w:numPr>
          <w:ilvl w:val="0"/>
          <w:numId w:val="5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5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5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5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5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Инструменты государственно – частного партнёрства.</w:t>
      </w:r>
    </w:p>
    <w:p>
      <w:pPr>
        <w:numPr>
          <w:ilvl w:val="0"/>
          <w:numId w:val="5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5"/>
        </w:numPr>
      </w:pPr>
      <w:r>
        <w:rPr/>
        <w:t xml:space="preserve">Основные цели и условия формирования туристских кластеров в регионе.</w:t>
      </w:r>
    </w:p>
    <w:p>
      <w:pPr>
        <w:numPr>
          <w:ilvl w:val="0"/>
          <w:numId w:val="5"/>
        </w:numPr>
      </w:pPr>
      <w:r>
        <w:rPr/>
        <w:t xml:space="preserve">Технология создания туристского кластера в регионе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магистранта осуществляется, согласно, рабочей программы дисциплины в соответствии с темами и утвержденным количеством часов на подготовку.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К самостоятельной работе относится проработка учебного материала по учебной и научной литературе для проведения практических занятий в форме собеседования и коллоквиума, а также написании эссе и подготовке к экзамену.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студентов включает: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работу над темами учебных дисциплин;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выполнение предусмотренных заданий;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написание эссе;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подготовка к экзамену;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участие в научной и научно-методической работе, в научных и научно-практических конференциях и семинарах.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При подготовке к практическому занятию необходимо изучить соответствующий теоретический материал. В случае затруднений обратиться за консультацией к преподавателю. Практические занятия проходят, как правило, в интерактивной форме и преподаватель учитывает активность студентов, направленную на решение предложенных задач, и в поиске ответов на вопросы.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Практические задания следует выполнять регулярно, что является важным фактором освоения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9" w:hanging="0"/>
        <w:spacing w:line="276" w:lineRule="auto"/>
      </w:pPr>
      <w:r>
        <w:rPr/>
        <w:t xml:space="preserve">При проведении практических занятий необходимо активно использовать презентации в среде PowerPoint. </w:t>
      </w:r>
      <w:r>
        <w:rPr>
          <w:color w:val="windowtext"/>
        </w:rPr>
        <w:t xml:space="preserve">Цель проведения практических занятий – развитие у магистрантов навыков по использованию эконометрических моделей и компьютерных технологий для решения конкретных задач в сфере экономики гостеприимства.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Основное внимание при проведении практических занятий следует уделять развитию навыков моделирования экономических процессов. При этом задача состоит в обучении профессиональным навыкам разработки и реализации моделей деловых ситуаций без углубления в алгоритмические и математические тонкости расчетов. Итогом таких занятий является получение навыков для самостоятельного решения магистрантами контрольной работы, основанной на реальных данных.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В учебном процессе используется интерактивная форма проведения занятий. В ходе интерактивных занятий проводится разбор конкретных хозяйственных ситуаций и дискуссии по применению эконометрических методов при их исследовании, во время проведения которых формируются требуемые компетенции. </w:t>
      </w:r>
    </w:p>
    <w:p>
      <w:pPr>
        <w:jc w:val="both"/>
        <w:ind w:left="0" w:right="0" w:firstLine="709" w:hanging="0"/>
        <w:spacing w:after="120" w:line="276" w:lineRule="auto"/>
      </w:pPr>
      <w:r>
        <w:rPr>
          <w:color w:val="windowtext"/>
        </w:rPr>
        <w:t xml:space="preserve">Поскольку большая часть учебного времени отводится на самостоятельное изучение дисциплины, рекомендуется уделить особое внимание организации и планированию самостоятельной работы, раскрыв существующие возможности созданных в университете корпоративных образовательных ресурсов (электронная библиотека, компьютерные обучающие программы, электронные учебные ресурсы, учебно-методические комплексы (УМК).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Егошина, И.Л. Методология научных исследований / И.Л. Егошина ; Поволжский государственный технологический университет. – Йошкар-Ола : ПГТУ, 2018. – 148 с. – Режим доступа: по подписке. – URL: </w:t>
      </w:r>
      <w:hyperlink r:id="rId7" w:history="1">
        <w:r>
          <w:rPr/>
          <w:t xml:space="preserve">http://biblioclub.ru/index.php?page=book&amp;id=494307</w:t>
        </w:r>
      </w:hyperlink>
      <w:r>
        <w:rPr/>
        <w:t xml:space="preserve">(дата обращения: 01.10.2019). – Библиогр.: с. 133. – ISBN 978-5-8158-2005-0. – Текст : электронный.</w:t>
      </w:r>
    </w:p>
    <w:p>
      <w:pPr>
        <w:numPr>
          <w:ilvl w:val="0"/>
          <w:numId w:val="6"/>
        </w:numPr>
      </w:pPr>
      <w:r>
        <w:rPr/>
        <w:t xml:space="preserve">Лапаева, М.Г. Методология научных исследований / М.Г. Лапаева, С.П. Лапаев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Оренбург : ОГУ, 2017. – 249 с. : ил. – Режим доступа: по подписке. – URL: </w:t>
      </w:r>
      <w:hyperlink r:id="rId8" w:history="1">
        <w:r>
          <w:rPr/>
          <w:t xml:space="preserve">http://biblioclub.ru/index.php?page=book&amp;id=485476</w:t>
        </w:r>
      </w:hyperlink>
      <w:r>
        <w:rPr/>
        <w:t xml:space="preserve">(дата обращения: 01.10.2019). – Библиогр. в кн. – ISBN 978-5-7410-1791-3. – Текст : электронный.</w:t>
      </w:r>
    </w:p>
    <w:p>
      <w:pPr>
        <w:numPr>
          <w:ilvl w:val="0"/>
          <w:numId w:val="6"/>
        </w:numPr>
      </w:pPr>
      <w:r>
        <w:rPr/>
        <w:t xml:space="preserve">Новиков, В.К. Методология и методы научного исследования / В.К. Новиков ; Министерство транспорта Российской Федерации, Московская государственная академия водного транспорта. – Москва : Альтаир : МГАВТ, 2015. – 211 с. : ил.,табл. – Режим доступа: по подписке. – URL: </w:t>
      </w:r>
      <w:hyperlink r:id="rId9" w:history="1">
        <w:r>
          <w:rPr/>
          <w:t xml:space="preserve">http://biblioclub.ru/index.php?page=book&amp;id=430107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6"/>
        </w:numPr>
      </w:pPr>
      <w:r>
        <w:rPr/>
        <w:t xml:space="preserve">Шкляр, М.Ф. Основы научных исследований / М.Ф. Шкляр. – 6-е изд. – Москва : Издательско-торговая корпорация «Дашков и К°», 2017. – 208 с. – (Учебные издания для бакалавров). – Режим доступа: по подписке. – URL: </w:t>
      </w:r>
      <w:hyperlink r:id="rId10" w:history="1">
        <w:r>
          <w:rPr/>
          <w:t xml:space="preserve">http://biblioclub.ru/index.php?page=book&amp;id=450782</w:t>
        </w:r>
      </w:hyperlink>
      <w:r>
        <w:rPr/>
        <w:t xml:space="preserve">(дата обращения: 01.10.2019). – Библиогр.: с. 195-196. – ISBN 978-5-394-02518-1.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Известия высших учебных заведений. Серия "Экономика, финансы и управление производством" : журнал / ред. В.А. Зайцев. – Иваново: Ивановский государственный химико-технологический университет, 2011. – № 3. – 90 с. – Режим доступа: по подписке. – URL: </w:t>
      </w:r>
      <w:hyperlink r:id="rId11" w:history="1">
        <w:r>
          <w:rPr/>
          <w:t xml:space="preserve">http://biblioclub.ru/index.php?page=book&amp;id=210965</w:t>
        </w:r>
      </w:hyperlink>
      <w:r>
        <w:rPr/>
        <w:t xml:space="preserve">(дата обращения: 01.10.2019). – ISSN 2218-1784. – Текст : электронный.</w:t>
      </w:r>
    </w:p>
    <w:p>
      <w:pPr>
        <w:numPr>
          <w:ilvl w:val="0"/>
          <w:numId w:val="7"/>
        </w:numPr>
      </w:pPr>
      <w:r>
        <w:rPr/>
        <w:t xml:space="preserve">Ключников, А.В. Исследование систем управления / А.В. Ключников ; Российская международная академия туризма. – Москва : Советский спорт, 2010. – 114 с. : ил. – Режим доступа: по подписке. – URL: </w:t>
      </w:r>
      <w:hyperlink r:id="rId12" w:history="1">
        <w:r>
          <w:rPr/>
          <w:t xml:space="preserve">http://biblioclub.ru/index.php?page=book&amp;id=258218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7"/>
        </w:numPr>
      </w:pPr>
      <w:r>
        <w:rPr/>
        <w:t xml:space="preserve">Креативная экономика : журнал / изд. ООО Издательство «Креативная экономика» ; гл. ред. И.А. Максимцев. – Москва : Креативная экономика, 2016. – Т. 10, № 6. – 162 с. – Режим доступа: по подписке. – URL: </w:t>
      </w:r>
      <w:hyperlink r:id="rId13" w:history="1">
        <w:r>
          <w:rPr/>
          <w:t xml:space="preserve">http://biblioclub.ru/index.php?page=book&amp;id=440248</w:t>
        </w:r>
      </w:hyperlink>
      <w:r>
        <w:rPr/>
        <w:t xml:space="preserve">(дата обращения: 01.10.2019). – ISSN 1994-6929. – Текст : электронный.</w:t>
      </w:r>
    </w:p>
    <w:p>
      <w:pPr>
        <w:numPr>
          <w:ilvl w:val="0"/>
          <w:numId w:val="7"/>
        </w:numPr>
      </w:pPr>
      <w:r>
        <w:rPr/>
        <w:t xml:space="preserve">Овчаров, А.О. Актуальные проблемы современных научных исследований: методология, экономика, статистика / А.О. Овчаров. – Москва : Директ-Медиа, 2013. – 143 с. – Режим доступа: по подписке. – URL: </w:t>
      </w:r>
      <w:hyperlink r:id="rId14" w:history="1">
        <w:r>
          <w:rPr/>
          <w:t xml:space="preserve">http://biblioclub.ru/index.php?page=book&amp;id=215311</w:t>
        </w:r>
      </w:hyperlink>
      <w:r>
        <w:rPr/>
        <w:t xml:space="preserve">(дата обращения: 01.10.2019). – ISBN 978-5-4458-4175-3. – DOI 10.23681/215311.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8"/>
        </w:numPr>
      </w:pPr>
      <w:r>
        <w:rPr/>
        <w:t xml:space="preserve">Электронного каталога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Электронной библиотеки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8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8"/>
        </w:numPr>
      </w:pPr>
      <w:r>
        <w:rPr/>
        <w:t xml:space="preserve">Электронная таблица EXCEL MS Office. Система STATISTICA в среде Windows. Эконометрический пакет VSTAT www.v-stat.ru Федеральная служба государственной статистики: www.gks.ru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(ЭБС) ООО «Издательский Дом ИНФРА -М» (доступ через интернет-репозиторий образовательных ресурсов). – URL: http://repository.vzfei.ru. Доступ по логину и паролю.</w:t>
      </w:r>
    </w:p>
    <w:p>
      <w:pPr>
        <w:numPr>
          <w:ilvl w:val="0"/>
          <w:numId w:val="8"/>
        </w:numPr>
      </w:pPr>
      <w:r>
        <w:rPr/>
        <w:t xml:space="preserve">Федеральная ЭБС «Единое окно доступа к образовательным ресурсам». – URL: http://window.edu.ru. Доступ свободный.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), E-nano (</w:t>
      </w:r>
      <w:hyperlink r:id="rId4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0C9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A169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A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2B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4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36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4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FF6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4307" TargetMode="External"/><Relationship Id="rId8" Type="http://schemas.openxmlformats.org/officeDocument/2006/relationships/hyperlink" Target="http://biblioclub.ru/index.php?page=book&amp;id=485476" TargetMode="External"/><Relationship Id="rId9" Type="http://schemas.openxmlformats.org/officeDocument/2006/relationships/hyperlink" Target="http://biblioclub.ru/index.php?page=book&amp;id=430107" TargetMode="External"/><Relationship Id="rId10" Type="http://schemas.openxmlformats.org/officeDocument/2006/relationships/hyperlink" Target="http://biblioclub.ru/index.php?page=book&amp;id=450782" TargetMode="External"/><Relationship Id="rId11" Type="http://schemas.openxmlformats.org/officeDocument/2006/relationships/hyperlink" Target="http://biblioclub.ru/index.php?page=book&amp;id=210965" TargetMode="External"/><Relationship Id="rId12" Type="http://schemas.openxmlformats.org/officeDocument/2006/relationships/hyperlink" Target="http://biblioclub.ru/index.php?page=book&amp;id=258218" TargetMode="External"/><Relationship Id="rId13" Type="http://schemas.openxmlformats.org/officeDocument/2006/relationships/hyperlink" Target="http://biblioclub.ru/index.php?page=book&amp;id=440248" TargetMode="External"/><Relationship Id="rId14" Type="http://schemas.openxmlformats.org/officeDocument/2006/relationships/hyperlink" Target="http://biblioclub.ru/index.php?page=book&amp;id=215311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2026-04-23T23:01:38+03:00</dcterms:created>
  <dcterms:modified xsi:type="dcterms:W3CDTF">2026-04-23T23:01:38+03:00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