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Национальный вид спорта - самбо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игры: Городки и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Дистанция вне захвата, дальняя, средняя, ближняя, вплотную. Захваты: предварительные, основные, ответные, оборонительные.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падению с подстраховкой на спину перекатом, безопасное падение вперед на верхние конечности, безопасное падение на бок перекатом.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выведению из равновесия: использование собственной силы; использование силы и инерции движения противника; использование собственной силы в сочетании с силой и инерцией движения противника. Выведение из равновесия руками: сбивание назад-вниз, сбивание вперед, сбивание назад, сбивание вправо-вперед. Выведение из равновесия ногами, туловищем. Подножки: задняя подножка (основной вариант), передняя подножка (основной вариант). Зацепы: (зацеп изнутри).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 (борцы – в правом нападающем положении, борец перебрасывает противника через свою спину). Подсада - атакующий поднимает или переворачивает противника с помощью ног. Подсечка - атакующий стопой подбивает ногу противника и, отведя ее в сторону, рывком руками бросает его (передняя, боковая).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защите: блокирование внутрь одноименным предплечьем, потом рычаг руки вовнутрь и загиб руки за спину; блокирование одноименной рукой внутрь, захватывается нога двумя руками, с броском и обратным захватом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бросков: Бросок с захватом ног (спереди, вынося ноги в сторону, за пятку). Бросок через плечи (основной вариант). Подхваты (передний). Бросок назад (с захватом руки и туловища). Комбинации из бросков. Борьба в партере (переворачивание захватом рук сбоку, удержание сбоку).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Передвижения, падения, блокирование, броски. Собеседование, сдача контрольных нормативов по технике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технических приемов и тактических действий в игре городки. Характеристика физической подготовки. Развитие основных  и специальных физических качеств городошников. Городошный спорт как вид спорта и средство физического воспитания. Особенности занятий городошным спортом. Место проведения, экипировка и инвентарь. Правила соревнований. Методика судейства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занимающихся в процессе физической подготовки. Взаимосвязь физической подготовки с технической.  Техника безопасности и предупреждение травматизма на занятиях и   при  проведении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перемещениям игроков в лапте: Обучение перемещениям: перемещения боком, спиной, лицом: шаги, скачки, прыжок, бег, остановка. Сочетания способов перемещения. Типичные ошибки при обучении, методы их исправления.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ловле мяча. Ловля мяча двумя руками: мяч, летящий на уровне груди; мяч, летящий выше головы; мяч, прыгающий на площадке; мячи, летящие слева и справа на разных уровнях. Ловля мяча, летящего «свечой». Обучение технике выполнения передачи мяча. Передача мяча: с близкого расстояния (3-10м), со среднего расстояния (10-30 м.), с дальнего расстояния (30-40м) на точность.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 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броску. Замах: начинается с переноса веса тела на толчковую ногу, правая нога при этом незначительно сгибается в коленном суставе. Плечи немного отводятся назад и поворачиваются по часовой стрелке, увлекая руки с битой через сторону назад. Левая рука лёгким толчком освобождается от биты в направлении её, и продолжает закручивать плечи с позвоночным столбом. Правая рука продолжает отводить биту назад, постепенно выпрямляясь в локтевом суставе. Выброс: Весь разгон и выброс правая рука выпрямлена и всю работу выполняет от плеча как одно целое с битой. Заканчивается бросок выбросом биты. При осуществлении броска в финальной части можно переносить центр тяжести тела и переступать после броска. При проведении замаха и выброса следует обращать особое внимание на то, чтобы не отводили взгляда от городков, по которым бросаем.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площадки для игры в городки. Расположение городков для игры. Совершенствование бросков в игре городки. Броски на точность с близкого и далекого расстояния. Учебная игра. Порядок определения победителей.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начального обучения стойкам  и перемещениям игрока в лапту.  Обучение стойкам: стартовая стойка, положение ног, туловища, и рук игроков, бьющих ударом сверху, сбоку, «свечой». Стартовая стойка игрока готовящегося к перебежке (высокий старт). Обучение технике на месте в целом.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индивидуальным действиям в лапте: выбор места для ловли мяча при ударе, Действия защитника: а) при пропуске мяча летящего в его сторону; б) при страховке своих партнеров при ударе сверху; в) при выборе места для того, чтобы осалить перебежчика; г) при выборе места для получения мяча от партнера; д) при обратном переосаливании; е) при расположении нападающего за линией кона; ж) при перебежке нападающих. Действия подающего при выносе мяча за линию дома.  Взаимодействие игроков передней и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ударов по мячу, бросков, действия нападающих и защитников в учебной игре. Собеседование, сдача контрольных нормативов по технике игры в русскую лапту.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7"/>
        </w:numPr>
      </w:pPr>
      <w:r>
        <w:rPr/>
        <w:t xml:space="preserve">Характеристика национальных видов спорта.</w:t>
      </w:r>
    </w:p>
    <w:p>
      <w:pPr>
        <w:numPr>
          <w:ilvl w:val="0"/>
          <w:numId w:val="7"/>
        </w:numPr>
      </w:pPr>
      <w:r>
        <w:rPr/>
        <w:t xml:space="preserve">Характеристика самбо как вида спорта.</w:t>
      </w:r>
    </w:p>
    <w:p>
      <w:pPr>
        <w:numPr>
          <w:ilvl w:val="0"/>
          <w:numId w:val="7"/>
        </w:numPr>
      </w:pPr>
      <w:r>
        <w:rPr/>
        <w:t xml:space="preserve">Самбо как средство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самбо в России.</w:t>
      </w:r>
    </w:p>
    <w:p>
      <w:pPr>
        <w:numPr>
          <w:ilvl w:val="0"/>
          <w:numId w:val="7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7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7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7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7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7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самбо.</w:t>
      </w:r>
    </w:p>
    <w:p>
      <w:pPr>
        <w:numPr>
          <w:ilvl w:val="0"/>
          <w:numId w:val="7"/>
        </w:numPr>
      </w:pPr>
      <w:r>
        <w:rPr/>
        <w:t xml:space="preserve">Русская лапта: история и этапы развития.</w:t>
      </w:r>
    </w:p>
    <w:p>
      <w:pPr>
        <w:numPr>
          <w:ilvl w:val="0"/>
          <w:numId w:val="7"/>
        </w:numPr>
      </w:pPr>
      <w:r>
        <w:rPr/>
        <w:t xml:space="preserve">История становления русской лапты как национального вида спорта.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7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7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7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7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7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7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7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7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7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7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русской лапты.</w:t>
      </w:r>
    </w:p>
    <w:p>
      <w:pPr>
        <w:numPr>
          <w:ilvl w:val="0"/>
          <w:numId w:val="7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7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7"/>
        </w:numPr>
      </w:pPr>
      <w:r>
        <w:rPr/>
        <w:t xml:space="preserve">Развитие игры в городки в Республике Карелия.</w:t>
      </w:r>
    </w:p>
    <w:p>
      <w:pPr>
        <w:numPr>
          <w:ilvl w:val="0"/>
          <w:numId w:val="7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7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7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7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7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7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7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игры городки.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 или терминов.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8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9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9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9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9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9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9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9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0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BA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AE8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CE5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A7E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B08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347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F5D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EFE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280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21F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CDFF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2026-04-20T22:16:15+03:00</dcterms:created>
  <dcterms:modified xsi:type="dcterms:W3CDTF">2026-04-20T22:16:15+03:00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