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ВНУТРЕННЕГО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внутреннего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туризм как вид коммерческой деятельности на туристском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туроператоров с партнерами и поставщиками услуг туристского бизнес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обслуживания туристов внутреннего туристского рынка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Туроператор - как субъект рынка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сотрудничества туроператоров с партнерами по туристскому бизнесу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и качества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требования к деятельности туроператора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в туризме. Продвижение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туристов на туристских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туристские организации Российской Федерации. Проблемы и тенденции развития современного туристского рынка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курсовой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и тенденции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«Организация внутреннего туризма»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докладов и сообщений;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для рефератов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 1. </w:t>
      </w:r>
    </w:p>
    <w:p>
      <w:pPr>
        <w:numPr>
          <w:ilvl w:val="0"/>
          <w:numId w:val="4"/>
        </w:numPr>
      </w:pPr>
      <w:r>
        <w:rPr/>
        <w:t xml:space="preserve">Особенности туристского рынка внутреннего туризма;</w:t>
      </w:r>
    </w:p>
    <w:p>
      <w:pPr>
        <w:numPr>
          <w:ilvl w:val="0"/>
          <w:numId w:val="4"/>
        </w:numPr>
      </w:pPr>
      <w:r>
        <w:rPr/>
        <w:t xml:space="preserve">Условия осуществления туристской деятельности туроператора внутреннего туризма;</w:t>
      </w:r>
    </w:p>
    <w:p>
      <w:pPr>
        <w:numPr>
          <w:ilvl w:val="0"/>
          <w:numId w:val="4"/>
        </w:numPr>
      </w:pPr>
      <w:r>
        <w:rPr/>
        <w:t xml:space="preserve">Современный туристский рынок Республики Карелия;</w:t>
      </w:r>
    </w:p>
    <w:p>
      <w:pPr>
        <w:numPr>
          <w:ilvl w:val="0"/>
          <w:numId w:val="4"/>
        </w:numPr>
      </w:pPr>
      <w:r>
        <w:rPr/>
        <w:t xml:space="preserve">Виды активного туризма;</w:t>
      </w:r>
    </w:p>
    <w:p>
      <w:pPr>
        <w:numPr>
          <w:ilvl w:val="0"/>
          <w:numId w:val="4"/>
        </w:numPr>
      </w:pPr>
      <w:r>
        <w:rPr/>
        <w:t xml:space="preserve">Виды событийного туризма;</w:t>
      </w:r>
    </w:p>
    <w:p>
      <w:pPr>
        <w:numPr>
          <w:ilvl w:val="0"/>
          <w:numId w:val="4"/>
        </w:numPr>
      </w:pPr>
      <w:r>
        <w:rPr/>
        <w:t xml:space="preserve">Особенности экскурсионного туризма;</w:t>
      </w:r>
    </w:p>
    <w:p>
      <w:pPr>
        <w:numPr>
          <w:ilvl w:val="0"/>
          <w:numId w:val="4"/>
        </w:numPr>
      </w:pPr>
      <w:r>
        <w:rPr/>
        <w:t xml:space="preserve">Требования к организации внутреннего турпродукта;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2.          </w:t>
      </w:r>
    </w:p>
    <w:p>
      <w:pPr>
        <w:numPr>
          <w:ilvl w:val="0"/>
          <w:numId w:val="5"/>
        </w:numPr>
      </w:pPr>
      <w:r>
        <w:rPr/>
        <w:t xml:space="preserve">Взаимодействие туроператора с партнерами по турбизнесу;</w:t>
      </w:r>
    </w:p>
    <w:p>
      <w:pPr>
        <w:numPr>
          <w:ilvl w:val="0"/>
          <w:numId w:val="5"/>
        </w:numPr>
      </w:pPr>
      <w:r>
        <w:rPr/>
        <w:t xml:space="preserve">Поставщики услуг, требования к ним;</w:t>
      </w:r>
    </w:p>
    <w:p>
      <w:pPr>
        <w:numPr>
          <w:ilvl w:val="0"/>
          <w:numId w:val="5"/>
        </w:numPr>
      </w:pPr>
      <w:r>
        <w:rPr/>
        <w:t xml:space="preserve">Виды страхования в туризме;</w:t>
      </w:r>
    </w:p>
    <w:p>
      <w:pPr>
        <w:numPr>
          <w:ilvl w:val="0"/>
          <w:numId w:val="5"/>
        </w:numPr>
      </w:pPr>
      <w:r>
        <w:rPr/>
        <w:t xml:space="preserve">Турпродукт внутреннего туризма, его особенности;</w:t>
      </w:r>
    </w:p>
    <w:p>
      <w:pPr>
        <w:numPr>
          <w:ilvl w:val="0"/>
          <w:numId w:val="5"/>
        </w:numPr>
      </w:pPr>
      <w:r>
        <w:rPr/>
        <w:t xml:space="preserve">Продвижение турпродукта на туристском рынке.</w:t>
      </w:r>
    </w:p>
    <w:p>
      <w:pPr>
        <w:numPr>
          <w:ilvl w:val="0"/>
          <w:numId w:val="5"/>
        </w:numPr>
      </w:pPr>
      <w:r>
        <w:rPr/>
        <w:t xml:space="preserve">Средства размещения в Республике Карелия.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семинара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6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6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6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6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6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6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6"/>
        </w:numPr>
      </w:pPr>
      <w:r>
        <w:rPr/>
        <w:t xml:space="preserve">Страхование в туризме</w:t>
      </w:r>
    </w:p>
    <w:p>
      <w:pPr>
        <w:numPr>
          <w:ilvl w:val="0"/>
          <w:numId w:val="6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6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6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6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6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6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6"/>
        </w:numPr>
      </w:pPr>
      <w:r>
        <w:rPr/>
        <w:t xml:space="preserve">Речные круизы</w:t>
      </w:r>
    </w:p>
    <w:p>
      <w:pPr>
        <w:numPr>
          <w:ilvl w:val="0"/>
          <w:numId w:val="6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6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Темы курсовых  работ</w:t>
      </w:r>
    </w:p>
    <w:p>
      <w:pPr>
        <w:numPr>
          <w:ilvl w:val="0"/>
          <w:numId w:val="7"/>
        </w:numPr>
      </w:pPr>
      <w:r>
        <w:rPr/>
        <w:t xml:space="preserve">Взаимодействие туроператора с поставщиками услуг при организации активного туризма;</w:t>
      </w:r>
    </w:p>
    <w:p>
      <w:pPr>
        <w:numPr>
          <w:ilvl w:val="0"/>
          <w:numId w:val="7"/>
        </w:numPr>
      </w:pPr>
      <w:r>
        <w:rPr/>
        <w:t xml:space="preserve">Развитие экскурсионного туризма в Сортавальском районе;</w:t>
      </w:r>
    </w:p>
    <w:p>
      <w:pPr>
        <w:numPr>
          <w:ilvl w:val="0"/>
          <w:numId w:val="7"/>
        </w:numPr>
      </w:pPr>
      <w:r>
        <w:rPr/>
        <w:t xml:space="preserve">Этнотуризм, его виды, разработка турпродукта в Олонецком районе;</w:t>
      </w:r>
    </w:p>
    <w:p>
      <w:pPr>
        <w:numPr>
          <w:ilvl w:val="0"/>
          <w:numId w:val="7"/>
        </w:numPr>
      </w:pPr>
      <w:r>
        <w:rPr/>
        <w:t xml:space="preserve">Развитие событийного туризма в Карелии;</w:t>
      </w:r>
    </w:p>
    <w:p>
      <w:pPr>
        <w:numPr>
          <w:ilvl w:val="0"/>
          <w:numId w:val="7"/>
        </w:numPr>
      </w:pPr>
      <w:r>
        <w:rPr/>
        <w:t xml:space="preserve">Развитие горно-лыжного туризма в Карелии;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Петрозаводск-Сортавала;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Петрозаводск-Медвежьегорск – Беломорск;</w:t>
      </w:r>
    </w:p>
    <w:p>
      <w:pPr>
        <w:numPr>
          <w:ilvl w:val="0"/>
          <w:numId w:val="7"/>
        </w:numPr>
      </w:pPr>
      <w:r>
        <w:rPr/>
        <w:t xml:space="preserve">Разработка путевой экскурсионной информации по маршруту: Петрозаводск – Пряжа – Олонец;</w:t>
      </w:r>
    </w:p>
    <w:p>
      <w:pPr>
        <w:numPr>
          <w:ilvl w:val="0"/>
          <w:numId w:val="7"/>
        </w:numPr>
      </w:pPr>
      <w:r>
        <w:rPr/>
        <w:t xml:space="preserve">Центры туристской активности в Республике Карелия;</w:t>
      </w:r>
    </w:p>
    <w:p>
      <w:pPr>
        <w:numPr>
          <w:ilvl w:val="0"/>
          <w:numId w:val="7"/>
        </w:numPr>
      </w:pPr>
      <w:r>
        <w:rPr/>
        <w:t xml:space="preserve">Технология разработки туристского продукта в соответствии с современными туристскими стандартами;</w:t>
      </w:r>
    </w:p>
    <w:p>
      <w:pPr>
        <w:numPr>
          <w:ilvl w:val="0"/>
          <w:numId w:val="7"/>
        </w:numPr>
      </w:pPr>
      <w:r>
        <w:rPr/>
        <w:t xml:space="preserve">Разработка путевой информационной информации с использованием топонимов в Медвежьегорском районе.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курсовой работы.</w:t>
      </w:r>
    </w:p>
    <w:p>
      <w:pPr/>
      <w:r>
        <w:rPr/>
        <w:t xml:space="preserve">По результатам защиты курсовой работы выставляется оценка: «отлично», «хорошо», «удовлетворительно», «неудовлетворительно».</w:t>
      </w:r>
    </w:p>
    <w:p>
      <w:pPr/>
      <w:r>
        <w:rPr/>
        <w:t xml:space="preserve">Оценка «отлично» выставляется при условии, что:</w:t>
      </w:r>
    </w:p>
    <w:p>
      <w:pPr>
        <w:numPr>
          <w:ilvl w:val="0"/>
          <w:numId w:val="8"/>
        </w:numPr>
      </w:pPr>
      <w:r>
        <w:rPr/>
        <w:t xml:space="preserve">работа выполнена самостоятельно, носит творческий характер, возможно содержание элементов научной новизны;</w:t>
      </w:r>
    </w:p>
    <w:p>
      <w:pPr>
        <w:numPr>
          <w:ilvl w:val="0"/>
          <w:numId w:val="8"/>
        </w:numPr>
      </w:pPr>
      <w:r>
        <w:rPr/>
        <w:t xml:space="preserve">собран, обобщен и проанализирован достаточный объем литературных источников;</w:t>
      </w:r>
    </w:p>
    <w:p>
      <w:pPr>
        <w:numPr>
          <w:ilvl w:val="0"/>
          <w:numId w:val="8"/>
        </w:numPr>
      </w:pPr>
      <w:r>
        <w:rPr/>
        <w:t xml:space="preserve">при написании и защите работы студентом дневного отделения продемонстрирован высокий уровень развития общекультурных и профессиональных компетенций, теоретические знания и наличие практических навыков;</w:t>
      </w:r>
    </w:p>
    <w:p>
      <w:pPr>
        <w:numPr>
          <w:ilvl w:val="0"/>
          <w:numId w:val="8"/>
        </w:numPr>
      </w:pPr>
      <w:r>
        <w:rPr/>
        <w:t xml:space="preserve">работа хорошо оформлена и своевременно представлена на кафедру, полностью соответствует требованиям, предъявляемым к содержанию и оформлению курсовых работ;</w:t>
      </w:r>
    </w:p>
    <w:p>
      <w:pPr>
        <w:numPr>
          <w:ilvl w:val="0"/>
          <w:numId w:val="8"/>
        </w:numPr>
      </w:pPr>
      <w:r>
        <w:rPr/>
        <w:t xml:space="preserve">на защите освещены все вопросы исследования, ответы студента на вопросы профессионально грамотны, исчерпывающие, результаты исследования подкреплены статистическими критериями;</w:t>
      </w:r>
    </w:p>
    <w:p>
      <w:pPr/>
      <w:r>
        <w:rPr/>
        <w:t xml:space="preserve">Оценка «хорошо» ставится, если:</w:t>
      </w:r>
    </w:p>
    <w:p>
      <w:pPr>
        <w:numPr>
          <w:ilvl w:val="0"/>
          <w:numId w:val="9"/>
        </w:numPr>
      </w:pPr>
      <w:r>
        <w:rPr/>
        <w:t xml:space="preserve">тема работы раскрыта, однако выводы и рекомендации не всегда оригинальны и / или не имеют практической значимости, есть неточности при освещении отдельных вопросов темы;</w:t>
      </w:r>
    </w:p>
    <w:p>
      <w:pPr>
        <w:numPr>
          <w:ilvl w:val="0"/>
          <w:numId w:val="9"/>
        </w:numPr>
      </w:pPr>
      <w:r>
        <w:rPr/>
        <w:t xml:space="preserve">собран, обобщен и проанализирован необходимый объем литературы, но не по всем аспектам исследуемой темы сделаны выводы и обоснованы практические рекомендации;</w:t>
      </w:r>
    </w:p>
    <w:p>
      <w:pPr>
        <w:numPr>
          <w:ilvl w:val="0"/>
          <w:numId w:val="9"/>
        </w:numPr>
      </w:pPr>
      <w:r>
        <w:rPr/>
        <w:t xml:space="preserve">при написании и защите работы студентом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</w:r>
    </w:p>
    <w:p>
      <w:pPr>
        <w:numPr>
          <w:ilvl w:val="0"/>
          <w:numId w:val="9"/>
        </w:numPr>
      </w:pPr>
      <w:r>
        <w:rPr/>
        <w:t xml:space="preserve">работа своевременно представлена на кафедру, есть отдельные недостатки в ее оформлении;</w:t>
      </w:r>
    </w:p>
    <w:p>
      <w:pPr>
        <w:numPr>
          <w:ilvl w:val="0"/>
          <w:numId w:val="9"/>
        </w:numPr>
      </w:pPr>
      <w:r>
        <w:rPr/>
        <w:t xml:space="preserve">в процессе защиты работы были неполные ответы на вопросы.</w:t>
      </w:r>
    </w:p>
    <w:p>
      <w:pPr/>
      <w:r>
        <w:rPr/>
        <w:t xml:space="preserve">Оценка «удовлетворительно» ставится, когда:</w:t>
      </w:r>
    </w:p>
    <w:p>
      <w:pPr>
        <w:numPr>
          <w:ilvl w:val="0"/>
          <w:numId w:val="10"/>
        </w:numPr>
      </w:pPr>
      <w:r>
        <w:rPr/>
        <w:t xml:space="preserve">тема работы раскрыта частично, но в основном правильно, допущено поверхностное изложение отдельных вопросов темы;</w:t>
      </w:r>
    </w:p>
    <w:p>
      <w:pPr>
        <w:numPr>
          <w:ilvl w:val="0"/>
          <w:numId w:val="10"/>
        </w:numPr>
      </w:pPr>
      <w:r>
        <w:rPr/>
        <w:t xml:space="preserve">в работе недостаточно полно была использована литература, выводы и практические рекомендации не отражали в достаточной степени содержание работы;</w:t>
      </w:r>
    </w:p>
    <w:p>
      <w:pPr>
        <w:numPr>
          <w:ilvl w:val="0"/>
          <w:numId w:val="10"/>
        </w:numPr>
      </w:pPr>
      <w:r>
        <w:rPr/>
        <w:t xml:space="preserve">при написании и защите работы студентом продемонстрирован удовлетворительный уровень развития общекультурных и профессиональных компетенций, поверхностный уровень теоретических знаний и практических навыков;</w:t>
      </w:r>
    </w:p>
    <w:p>
      <w:pPr>
        <w:numPr>
          <w:ilvl w:val="0"/>
          <w:numId w:val="10"/>
        </w:numPr>
      </w:pPr>
      <w:r>
        <w:rPr/>
        <w:t xml:space="preserve">работа своевременно представлена на кафедру, однако не в полном объеме по содержанию и / или оформлению соответствует предъявляемым требованиям;</w:t>
      </w:r>
    </w:p>
    <w:p>
      <w:pPr>
        <w:numPr>
          <w:ilvl w:val="0"/>
          <w:numId w:val="10"/>
        </w:numPr>
      </w:pPr>
      <w:r>
        <w:rPr/>
        <w:t xml:space="preserve">в процессе защиты выпускник недостаточно полно изложил основные положения работы, испытывал затруднения при ответах на вопросы.</w:t>
      </w:r>
    </w:p>
    <w:p>
      <w:pPr/>
      <w:r>
        <w:rPr/>
        <w:t xml:space="preserve">Оценка «неудовлетворительно» ставится, если:</w:t>
      </w:r>
    </w:p>
    <w:p>
      <w:pPr>
        <w:numPr>
          <w:ilvl w:val="0"/>
          <w:numId w:val="11"/>
        </w:numPr>
      </w:pPr>
      <w:r>
        <w:rPr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</w:r>
    </w:p>
    <w:p>
      <w:pPr>
        <w:numPr>
          <w:ilvl w:val="0"/>
          <w:numId w:val="11"/>
        </w:numPr>
      </w:pPr>
      <w:r>
        <w:rPr/>
        <w:t xml:space="preserve">работа не оригинальна, основана на компиляции публикаций по теме;</w:t>
      </w:r>
    </w:p>
    <w:p>
      <w:pPr>
        <w:numPr>
          <w:ilvl w:val="0"/>
          <w:numId w:val="11"/>
        </w:numPr>
      </w:pPr>
      <w:r>
        <w:rPr/>
        <w:t xml:space="preserve"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>
      <w:pPr>
        <w:numPr>
          <w:ilvl w:val="0"/>
          <w:numId w:val="11"/>
        </w:numPr>
      </w:pPr>
      <w:r>
        <w:rPr/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</w:t>
      </w:r>
    </w:p>
    <w:p>
      <w:pPr>
        <w:numPr>
          <w:ilvl w:val="0"/>
          <w:numId w:val="11"/>
        </w:numPr>
      </w:pPr>
      <w:r>
        <w:rPr/>
        <w:t xml:space="preserve">на защите студент дневного отделения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12"/>
        </w:numPr>
      </w:pPr>
      <w:r>
        <w:rPr/>
        <w:t xml:space="preserve">Туроператор - как субъект рынка внутреннего туризма</w:t>
      </w:r>
    </w:p>
    <w:p>
      <w:pPr>
        <w:numPr>
          <w:ilvl w:val="0"/>
          <w:numId w:val="12"/>
        </w:numPr>
      </w:pPr>
      <w:r>
        <w:rPr/>
        <w:t xml:space="preserve">Нормативно-правовые требования к деятельности туроператора</w:t>
      </w:r>
    </w:p>
    <w:p>
      <w:pPr>
        <w:numPr>
          <w:ilvl w:val="0"/>
          <w:numId w:val="12"/>
        </w:numPr>
      </w:pPr>
      <w:r>
        <w:rPr/>
        <w:t xml:space="preserve">Общественные туристские организации Российской Федерации</w:t>
      </w:r>
    </w:p>
    <w:p>
      <w:pPr>
        <w:numPr>
          <w:ilvl w:val="0"/>
          <w:numId w:val="12"/>
        </w:numPr>
      </w:pPr>
      <w:r>
        <w:rPr/>
        <w:t xml:space="preserve">Проблемы и тенденции развития современного туристского рынка Российской Федерации</w:t>
      </w:r>
    </w:p>
    <w:p>
      <w:pPr>
        <w:numPr>
          <w:ilvl w:val="0"/>
          <w:numId w:val="12"/>
        </w:numPr>
      </w:pPr>
      <w:r>
        <w:rPr/>
        <w:t xml:space="preserve">Схемы сотрудничества туроператоров с партнерами по туристскому бизнесу</w:t>
      </w:r>
    </w:p>
    <w:p>
      <w:pPr>
        <w:numPr>
          <w:ilvl w:val="0"/>
          <w:numId w:val="12"/>
        </w:numPr>
      </w:pPr>
      <w:r>
        <w:rPr/>
        <w:t xml:space="preserve">Формы сотрудничества туроператоров со средствами размещения</w:t>
      </w:r>
    </w:p>
    <w:p>
      <w:pPr>
        <w:numPr>
          <w:ilvl w:val="0"/>
          <w:numId w:val="12"/>
        </w:numPr>
      </w:pPr>
      <w:r>
        <w:rPr/>
        <w:t xml:space="preserve">Взаимодействие туроператоров с поставщиками услуг</w:t>
      </w:r>
    </w:p>
    <w:p>
      <w:pPr>
        <w:numPr>
          <w:ilvl w:val="0"/>
          <w:numId w:val="12"/>
        </w:numPr>
      </w:pPr>
      <w:r>
        <w:rPr/>
        <w:t xml:space="preserve">Страхование в туризме</w:t>
      </w:r>
    </w:p>
    <w:p>
      <w:pPr>
        <w:numPr>
          <w:ilvl w:val="0"/>
          <w:numId w:val="12"/>
        </w:numPr>
      </w:pPr>
      <w:r>
        <w:rPr/>
        <w:t xml:space="preserve">Продвижение туристского продукта</w:t>
      </w:r>
    </w:p>
    <w:p>
      <w:pPr>
        <w:numPr>
          <w:ilvl w:val="0"/>
          <w:numId w:val="12"/>
        </w:numPr>
      </w:pPr>
      <w:r>
        <w:rPr/>
        <w:t xml:space="preserve">Центры туристской активности в Российской Федерации</w:t>
      </w:r>
    </w:p>
    <w:p>
      <w:pPr>
        <w:numPr>
          <w:ilvl w:val="0"/>
          <w:numId w:val="12"/>
        </w:numPr>
      </w:pPr>
      <w:r>
        <w:rPr/>
        <w:t xml:space="preserve">Основные направления внутреннего туризма. Виды туризма</w:t>
      </w:r>
    </w:p>
    <w:p>
      <w:pPr>
        <w:numPr>
          <w:ilvl w:val="0"/>
          <w:numId w:val="12"/>
        </w:numPr>
      </w:pPr>
      <w:r>
        <w:rPr/>
        <w:t xml:space="preserve">Технология организации и качества туристского продукта</w:t>
      </w:r>
    </w:p>
    <w:p>
      <w:pPr>
        <w:numPr>
          <w:ilvl w:val="0"/>
          <w:numId w:val="12"/>
        </w:numPr>
      </w:pPr>
      <w:r>
        <w:rPr/>
        <w:t xml:space="preserve">Требования к обслуживанию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Индустрия детского отдыха в России</w:t>
      </w:r>
    </w:p>
    <w:p>
      <w:pPr>
        <w:numPr>
          <w:ilvl w:val="0"/>
          <w:numId w:val="12"/>
        </w:numPr>
      </w:pPr>
      <w:r>
        <w:rPr/>
        <w:t xml:space="preserve">Организация семейного отдыха</w:t>
      </w:r>
    </w:p>
    <w:p>
      <w:pPr>
        <w:numPr>
          <w:ilvl w:val="0"/>
          <w:numId w:val="12"/>
        </w:numPr>
      </w:pPr>
      <w:r>
        <w:rPr/>
        <w:t xml:space="preserve">Речные круизы</w:t>
      </w:r>
    </w:p>
    <w:p>
      <w:pPr>
        <w:numPr>
          <w:ilvl w:val="0"/>
          <w:numId w:val="12"/>
        </w:numPr>
      </w:pPr>
      <w:r>
        <w:rPr/>
        <w:t xml:space="preserve">Обеспечение безопасности туристов на туристских маршрутах</w:t>
      </w:r>
    </w:p>
    <w:p>
      <w:pPr>
        <w:numPr>
          <w:ilvl w:val="0"/>
          <w:numId w:val="12"/>
        </w:numPr>
      </w:pPr>
      <w:r>
        <w:rPr/>
        <w:t xml:space="preserve">Основные проблемы и тенденции развития туризма 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4"/>
        </w:numPr>
      </w:pPr>
      <w:r>
        <w:rPr/>
        <w:t xml:space="preserve">Качество подготовки контрольных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  к  изучению  информационного  материала.  Весь 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5"/>
        </w:numPr>
      </w:pPr>
      <w:r>
        <w:rPr/>
        <w:t xml:space="preserve">выбор темы исследования;</w:t>
      </w:r>
    </w:p>
    <w:p>
      <w:pPr>
        <w:numPr>
          <w:ilvl w:val="0"/>
          <w:numId w:val="15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5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5"/>
        </w:numPr>
      </w:pPr>
      <w:r>
        <w:rPr/>
        <w:t xml:space="preserve">определение цели и задач;</w:t>
      </w:r>
    </w:p>
    <w:p>
      <w:pPr>
        <w:numPr>
          <w:ilvl w:val="0"/>
          <w:numId w:val="15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5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5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5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5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5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5"/>
        </w:numPr>
      </w:pPr>
      <w:r>
        <w:rPr/>
        <w:t xml:space="preserve">формулировка выводов;</w:t>
      </w:r>
    </w:p>
    <w:p>
      <w:pPr>
        <w:numPr>
          <w:ilvl w:val="0"/>
          <w:numId w:val="15"/>
        </w:numPr>
      </w:pPr>
      <w:r>
        <w:rPr/>
        <w:t xml:space="preserve">оформление работы;</w:t>
      </w:r>
    </w:p>
    <w:p>
      <w:pPr>
        <w:numPr>
          <w:ilvl w:val="0"/>
          <w:numId w:val="15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6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6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6"/>
        </w:numPr>
      </w:pPr>
      <w:r>
        <w:rPr/>
        <w:t xml:space="preserve">Анализ полученных результатов.</w:t>
      </w:r>
    </w:p>
    <w:p>
      <w:pPr>
        <w:numPr>
          <w:ilvl w:val="0"/>
          <w:numId w:val="16"/>
        </w:numPr>
      </w:pPr>
      <w:r>
        <w:rPr/>
        <w:t xml:space="preserve">Выводы и рекомендации.</w:t>
      </w:r>
    </w:p>
    <w:p>
      <w:pPr>
        <w:numPr>
          <w:ilvl w:val="0"/>
          <w:numId w:val="16"/>
        </w:numPr>
      </w:pP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листаформата A4 (210 x 297 мм) с соблюдением следующих характеристик:</w:t>
      </w:r>
    </w:p>
    <w:p>
      <w:pPr>
        <w:numPr>
          <w:ilvl w:val="0"/>
          <w:numId w:val="17"/>
        </w:numPr>
      </w:pPr>
      <w:r>
        <w:rPr/>
        <w:t xml:space="preserve">шрифт Times New Roman;</w:t>
      </w:r>
    </w:p>
    <w:p>
      <w:pPr>
        <w:numPr>
          <w:ilvl w:val="0"/>
          <w:numId w:val="17"/>
        </w:numPr>
      </w:pPr>
      <w:r>
        <w:rPr/>
        <w:t xml:space="preserve">размер шрифта (кегль) – 12;</w:t>
      </w:r>
    </w:p>
    <w:p>
      <w:pPr>
        <w:numPr>
          <w:ilvl w:val="0"/>
          <w:numId w:val="17"/>
        </w:numPr>
      </w:pPr>
      <w:r>
        <w:rPr/>
        <w:t xml:space="preserve">интервал – 1,5;</w:t>
      </w:r>
    </w:p>
    <w:p>
      <w:pPr>
        <w:numPr>
          <w:ilvl w:val="0"/>
          <w:numId w:val="17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Times New Roman,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 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18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19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19"/>
        </w:numPr>
      </w:pPr>
      <w:r>
        <w:rPr/>
        <w:t xml:space="preserve">постановка задач;</w:t>
      </w:r>
    </w:p>
    <w:p>
      <w:pPr>
        <w:numPr>
          <w:ilvl w:val="0"/>
          <w:numId w:val="19"/>
        </w:numPr>
      </w:pPr>
      <w:r>
        <w:rPr/>
        <w:t xml:space="preserve">методы исследования;</w:t>
      </w:r>
    </w:p>
    <w:p>
      <w:pPr>
        <w:numPr>
          <w:ilvl w:val="0"/>
          <w:numId w:val="19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19"/>
        </w:numPr>
      </w:pPr>
      <w:r>
        <w:rPr/>
        <w:t xml:space="preserve">выводы.</w:t>
      </w:r>
    </w:p>
    <w:p>
      <w:pPr>
        <w:numPr>
          <w:ilvl w:val="0"/>
          <w:numId w:val="20"/>
        </w:numPr>
      </w:pP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       соответствие названия работы ее содержанию;</w:t>
      </w:r>
    </w:p>
    <w:p>
      <w:pPr/>
      <w:r>
        <w:rPr/>
        <w:t xml:space="preserve">б)      логическая последовательность изложения материала;</w:t>
      </w:r>
    </w:p>
    <w:p>
      <w:pPr/>
      <w:r>
        <w:rPr/>
        <w:t xml:space="preserve">в)      корректное изложение материала с учетом принятой научной терминологии;</w:t>
      </w:r>
    </w:p>
    <w:p>
      <w:pPr/>
      <w:r>
        <w:rPr/>
        <w:t xml:space="preserve">г)       достоверность полученных результатов и обоснованность выводов;</w:t>
      </w:r>
    </w:p>
    <w:p>
      <w:pPr/>
      <w:r>
        <w:rPr/>
        <w:t xml:space="preserve">д)      научный стиль написания;</w:t>
      </w:r>
    </w:p>
    <w:p>
      <w:pPr/>
      <w:r>
        <w:rPr/>
        <w:t xml:space="preserve">е)   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  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курсовой работы и  экзамена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Биржаков М. Б. Введение в туризм. – М-СПб.: «Издательский дом ГЕРДА», НП «Издательство «Невский Фонд», 2014. – 544 с.</w:t>
      </w:r>
    </w:p>
    <w:p>
      <w:pPr>
        <w:numPr>
          <w:ilvl w:val="0"/>
          <w:numId w:val="21"/>
        </w:numPr>
      </w:pPr>
      <w:r>
        <w:rPr/>
        <w:t xml:space="preserve">Бугорский, В. П. Организация туристской индустрии. Правовые основы : учебное пособие для среднего профессионального образования / В. П. Бугорский. – Москва : Издательство Юрайт, 2021. – 165 с.</w:t>
      </w:r>
    </w:p>
    <w:p>
      <w:pPr>
        <w:numPr>
          <w:ilvl w:val="0"/>
          <w:numId w:val="21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1"/>
        </w:numPr>
      </w:pPr>
      <w:r>
        <w:rPr/>
        <w:t xml:space="preserve"> </w:t>
      </w:r>
      <w:r>
        <w:rPr/>
        <w:t xml:space="preserve">Основы туризма: учебник для обучения студентов вузов по направлениям подготовки "Туризм", "Гостиничное дело", "Сервис" / [Е. Н. Трофимов [и др.] ; под ред. Е. Л. Писаревского. - Москва, 2014. - 374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2"/>
        </w:numPr>
      </w:pP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2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2"/>
        </w:numPr>
      </w:pPr>
      <w:r>
        <w:rPr/>
        <w:t xml:space="preserve">Остроумов, О. В. Туризм. Продвижение российского турпродукта: возможности и реальность : учебно-методическое пособие / О. В. Остроумов ; под. ред. Ю. С. Путрика. — Москва : Финансы и Статистика, 2021. — 128 с.</w:t>
      </w:r>
    </w:p>
    <w:p>
      <w:pPr>
        <w:numPr>
          <w:ilvl w:val="0"/>
          <w:numId w:val="22"/>
        </w:numPr>
      </w:pPr>
      <w:r>
        <w:rPr/>
        <w:t xml:space="preserve">Плотникова В. С. Продвижение туристско-экскурсионного продукта: учебное пособие / В. С. Плотникова, Н. В. Колесникова; М-во образования и науки Рос. Федерации, Федер. гос. бюджет. образоват. учреждение высш. проф. образования «Петрозав. гос. ун-т». – Петрозаводск: Издательство ПетрГУ, 2015. – 60 с.</w:t>
      </w:r>
    </w:p>
    <w:p>
      <w:pPr>
        <w:numPr>
          <w:ilvl w:val="0"/>
          <w:numId w:val="22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2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-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-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-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-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-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-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-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-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- Корпоративная сеть ПетрГУ, включая беспроводной сегмент, и корпоративная почта;</w:t>
      </w:r>
    </w:p>
    <w:p>
      <w:pPr/>
      <w:r>
        <w:rPr/>
        <w:t xml:space="preserve">-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-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-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-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-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A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2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F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0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C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1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7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C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0E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D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C6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3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B95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2CB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E7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DE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3E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5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4F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3D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01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70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69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CE9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2026-04-25T11:44:52+03:00</dcterms:created>
  <dcterms:modified xsi:type="dcterms:W3CDTF">2026-04-25T11:44:52+03:00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