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СОЦИАЛЬНЫЙ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Бизнес-планирование (О), Экологический туризм (О), Реклама в туризме (О), Проектирование экскурсионных услуг (О), Технология и методики проведения экскурсий (НО), Социальный туризм (О), Производственная практика (проектно-технологическая практика) (О), Выполнение и защита выпускной квалификационной работы (И), Конфликтология (О), Организация гостиничного дела (О), Программный туризм (О), Правовые аспекты в туризме (О), Обеспечение качества туристских и экскурсионных услуг (О), Активные виды туризма (О), Технологии семейного туризма (О), Событийный туризм (О), Преддипломная практика (И), Подготовка к сдаче и сдача государственного экзамена (И), Маркетинг в профессиональной деятельности (О).</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Социальный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в туризме, Русский язык и культура речи, Информационные технологии в туристской индустрии, Риторика в работе экскурсовода, Обеспечение качества туристских и экскурсионных услуг, Введение в профессиональную деятельность, Рекреалогия.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Социальный туризм как часть внутреннего туризма. Роль и значение социального туризма для человека, общества, экономики, государства.</w:t>
            </w:r>
          </w:p>
        </w:tc>
        <w:tc>
          <w:tcPr>
            <w:noWrap/>
          </w:tcPr>
          <w:p>
            <w:pPr>
              <w:jc w:val="left"/>
              <w:ind w:left="0" w:right="0" w:firstLine="0" w:hanging="0"/>
            </w:pPr>
            <w:r>
              <w:rPr/>
              <w:t xml:space="preserve">95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pPr>
              <w:jc w:val="left"/>
              <w:ind w:left="0" w:right="0" w:firstLine="0" w:hanging="0"/>
            </w:pPr>
            <w:r>
              <w:rPr/>
              <w:t xml:space="preserve">Конспект; Проект;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Конспект;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Социальный туризм как часть внутреннего туризма. Роль и значение социального туризма для человека, общества, экономики, государства. Теоретические основы формирования методологии исследования социального туризма Государственное управление социального туризма. Опыт организации социального отдыха: российский и зарубежный. Социальный туризм в России: состояние и перспективы  Социальный туризм как объект управления: многоуровневая система. Практическое исследование социального туризма в регионе  Разработка механизма управления социальным туризмом (взаимодействие рыночного механизма и государства, самоорганизация).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Доклады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Создание турпродукта для социальных туристов. Защита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-подготовка докладов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w:t>
      </w:r>
    </w:p>
    <w:p>
      <w:pPr/>
      <w:r>
        <w:rPr/>
        <w:t xml:space="preserve">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проект.</w:t>
      </w:r>
    </w:p>
    <w:p>
      <w:pPr/>
      <w:r>
        <w:rPr/>
        <w:t xml:space="preserve">Оценочные средства для текущего контроля.</w:t>
      </w:r>
    </w:p>
    <w:p>
      <w:pPr/>
      <w:r>
        <w:rPr/>
        <w:t xml:space="preserve">Конспект</w:t>
      </w:r>
    </w:p>
    <w:p>
      <w:pPr/>
      <w:r>
        <w:rPr/>
        <w:t xml:space="preserve">Конспекты по темам дисциплины:</w:t>
      </w:r>
    </w:p>
    <w:p>
      <w:pPr>
        <w:numPr>
          <w:ilvl w:val="0"/>
          <w:numId w:val="1"/>
        </w:numPr>
      </w:pPr>
      <w:r>
        <w:rPr/>
        <w:t xml:space="preserve">Социальный туризм как часть внутреннего туризма. Роль и значение социального туризма для человека, общества, экономики, государства.</w:t>
      </w:r>
    </w:p>
    <w:p>
      <w:pPr>
        <w:numPr>
          <w:ilvl w:val="0"/>
          <w:numId w:val="1"/>
        </w:numPr>
      </w:pPr>
      <w:r>
        <w:rPr/>
        <w:t xml:space="preserve">Теоретические основы формирования методологии исследования социального туризма</w:t>
      </w:r>
    </w:p>
    <w:p>
      <w:pPr>
        <w:numPr>
          <w:ilvl w:val="0"/>
          <w:numId w:val="1"/>
        </w:numPr>
      </w:pPr>
      <w:r>
        <w:rPr/>
        <w:t xml:space="preserve">Государственное управление социального туризма. Опыт организации социального отдыха: российский и зарубежный</w:t>
      </w:r>
    </w:p>
    <w:p>
      <w:pPr>
        <w:numPr>
          <w:ilvl w:val="0"/>
          <w:numId w:val="1"/>
        </w:numPr>
      </w:pPr>
      <w:r>
        <w:rPr/>
        <w:t xml:space="preserve">Социальный туризм в России: состояние и перспективы</w:t>
      </w:r>
    </w:p>
    <w:p>
      <w:pPr>
        <w:numPr>
          <w:ilvl w:val="0"/>
          <w:numId w:val="1"/>
        </w:numPr>
      </w:pPr>
      <w:r>
        <w:rPr/>
        <w:t xml:space="preserve">Социальный туризм как объект управления: многоуровневая система.</w:t>
      </w:r>
    </w:p>
    <w:p>
      <w:pPr>
        <w:numPr>
          <w:ilvl w:val="0"/>
          <w:numId w:val="1"/>
        </w:numPr>
      </w:pPr>
      <w:r>
        <w:rPr/>
        <w:t xml:space="preserve">Практическое исследование социального туризма в регионе</w:t>
      </w:r>
    </w:p>
    <w:p>
      <w:pPr>
        <w:numPr>
          <w:ilvl w:val="0"/>
          <w:numId w:val="1"/>
        </w:numPr>
      </w:pPr>
      <w:r>
        <w:rPr/>
        <w:t xml:space="preserve">Разработка механизма управления социальным туризмом (взаимодействие рыночного механизма и государства, самоорганизация).</w:t>
      </w:r>
    </w:p>
    <w:p/>
    <w:p>
      <w:pPr/>
      <w:r>
        <w:rPr/>
        <w:t xml:space="preserve">Проект</w:t>
      </w:r>
    </w:p>
    <w:p>
      <w:pPr/>
      <w:r>
        <w:rPr/>
        <w:t xml:space="preserve">Подготовить к защите проект туристского маршрута  для социальных туристов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r>
        <w:rPr/>
        <w:t xml:space="preserve">Титульный лист. 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r>
        <w:rPr/>
        <w:t xml:space="preserve">Содержание. В содержании указываются разделы предоставляемого материала и номера страниц </w:t>
      </w:r>
    </w:p>
    <w:p>
      <w:pPr/>
      <w:r>
        <w:rPr/>
        <w:t xml:space="preserve">Паспорт маршрута. В данном разделе должны быть кратко указаны справочные сведения о маршруте.</w:t>
      </w:r>
    </w:p>
    <w:p>
      <w:pPr/>
      <w:r>
        <w:rPr/>
        <w:t xml:space="preserve">Техническое описание.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r>
        <w:rPr/>
        <w:t xml:space="preserve">Картографический материал.</w:t>
      </w:r>
      <w:r>
        <w:rPr/>
        <w:t xml:space="preserve"> </w:t>
      </w:r>
    </w:p>
    <w:p>
      <w:pPr/>
      <w:r>
        <w:rPr/>
        <w:t xml:space="preserve">Краеведческое описание.</w:t>
      </w:r>
      <w:r>
        <w:rPr/>
        <w:t xml:space="preserve"> </w:t>
      </w:r>
    </w:p>
    <w:p>
      <w:pPr/>
      <w:r>
        <w:rPr/>
        <w:t xml:space="preserve">Рекомендации. В разделе даются рекомендации по: Подбору продуктов и рациона питания. Составу</w:t>
      </w:r>
      <w:r>
        <w:rPr/>
        <w:t xml:space="preserve"> </w:t>
      </w:r>
      <w:r>
        <w:rPr/>
        <w:t xml:space="preserve"> медицинской</w:t>
      </w:r>
      <w:r>
        <w:rPr/>
        <w:t xml:space="preserve"> </w:t>
      </w:r>
      <w:r>
        <w:rPr/>
        <w:t xml:space="preserve"> аптечки.</w:t>
      </w:r>
      <w:r>
        <w:rPr/>
        <w:t xml:space="preserve"> </w:t>
      </w:r>
      <w:r>
        <w:rPr/>
        <w:t xml:space="preserve">Смета расходов.</w:t>
      </w:r>
      <w:r>
        <w:rPr/>
        <w:t xml:space="preserve"> </w:t>
      </w:r>
      <w:r>
        <w:rPr/>
        <w:t xml:space="preserve">Памятки по безопасности и рекомендации по обеспечению безопасности.</w:t>
      </w:r>
      <w:r>
        <w:rPr/>
        <w:t xml:space="preserve"> </w:t>
      </w:r>
      <w:r>
        <w:rPr/>
        <w:t xml:space="preserve">Рекомендации по посещению интересных мест</w:t>
      </w:r>
      <w:r>
        <w:rPr/>
        <w:t xml:space="preserve"> </w:t>
      </w:r>
      <w:r>
        <w:rPr/>
        <w:t xml:space="preserve">                   </w:t>
      </w:r>
    </w:p>
    <w:p>
      <w:pPr/>
      <w:r>
        <w:rPr/>
        <w:t xml:space="preserve"> Библиографический список.</w:t>
      </w:r>
      <w:r>
        <w:rPr/>
        <w:t xml:space="preserve">  </w:t>
      </w:r>
      <w:r>
        <w:rPr/>
        <w:t xml:space="preserve">Требования к оформлению материалов-</w:t>
      </w:r>
      <w:r>
        <w:rPr/>
        <w:t xml:space="preserve"> </w:t>
      </w:r>
      <w:r>
        <w:rPr/>
        <w:t xml:space="preserve">техническое описание должно соответствовать картографическому и иллюстративному материалу;- при оформлении необходимо следить за правильностью написания разделов, входящих в содержание предоставляемого материала;-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1.Паспорт маршрута</w:t>
      </w:r>
      <w:r>
        <w:rPr/>
        <w:t xml:space="preserve"> </w:t>
      </w:r>
      <w:r>
        <w:rPr/>
        <w:t xml:space="preserve">          </w:t>
      </w:r>
    </w:p>
    <w:p>
      <w:pPr/>
      <w:r>
        <w:rPr/>
        <w:t xml:space="preserve">1. </w:t>
      </w:r>
      <w:r>
        <w:rPr/>
        <w:t xml:space="preserve">Автор маршрута: </w:t>
      </w:r>
    </w:p>
    <w:p>
      <w:pPr/>
      <w:r>
        <w:rPr/>
        <w:t xml:space="preserve">2. Название туристского маршрута: </w:t>
      </w:r>
    </w:p>
    <w:p>
      <w:pPr/>
      <w:r>
        <w:rPr/>
        <w:t xml:space="preserve">3. Общие сведения о маршруте: </w:t>
      </w:r>
    </w:p>
    <w:p>
      <w:pPr/>
      <w:r>
        <w:rPr/>
        <w:t xml:space="preserve">4. Подробная нитка маршрута: </w:t>
      </w:r>
    </w:p>
    <w:p>
      <w:pPr/>
      <w:r>
        <w:rPr/>
        <w:t xml:space="preserve">5. Программа маршрута</w:t>
      </w:r>
    </w:p>
    <w:p>
      <w:pPr/>
      <w:r>
        <w:rPr/>
        <w:t xml:space="preserve">6. Рекомендации для сопровождающего</w:t>
      </w:r>
    </w:p>
    <w:p>
      <w:pPr/>
    </w:p>
    <w:p>
      <w:pPr/>
      <w:r>
        <w:rPr/>
        <w:t xml:space="preserve">Критерии оценки «Зачтено» ставится, если студент выполнил проект в полном объеме с соблюдением необходимой последовательности указанных действий. </w:t>
      </w:r>
      <w:r>
        <w:rPr/>
        <w:t xml:space="preserve">На защите студент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w:t>
      </w:r>
      <w:r>
        <w:rPr/>
        <w:t xml:space="preserve">На защите студент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t xml:space="preserve">        1. Социальный туризм в современной России: проблемы и перспективы развития</w:t>
      </w:r>
    </w:p>
    <w:p>
      <w:pPr>
        <w:numPr>
          <w:ilvl w:val="0"/>
          <w:numId w:val="2"/>
        </w:numPr>
      </w:pPr>
      <w:r>
        <w:rPr/>
        <w:t xml:space="preserve">Состояние, проблемы и перспективы развития социального туризма в России </w:t>
      </w:r>
    </w:p>
    <w:p>
      <w:pPr>
        <w:numPr>
          <w:ilvl w:val="0"/>
          <w:numId w:val="2"/>
        </w:numPr>
      </w:pPr>
      <w:r>
        <w:rPr/>
        <w:t xml:space="preserve">Социально ориентированные некоммерческие организации в сфере социального туризма Республики Карелия</w:t>
      </w:r>
    </w:p>
    <w:p>
      <w:pPr>
        <w:numPr>
          <w:ilvl w:val="0"/>
          <w:numId w:val="2"/>
        </w:numPr>
      </w:pPr>
      <w:r>
        <w:rPr/>
        <w:t xml:space="preserve">Актуальные аспекты развития социального туризма</w:t>
      </w:r>
    </w:p>
    <w:p>
      <w:pPr>
        <w:numPr>
          <w:ilvl w:val="0"/>
          <w:numId w:val="2"/>
        </w:numPr>
      </w:pPr>
      <w:r>
        <w:rPr/>
        <w:t xml:space="preserve">Управление системой «Сервис и туризм» на региональном уровне </w:t>
      </w:r>
    </w:p>
    <w:p>
      <w:pPr>
        <w:numPr>
          <w:ilvl w:val="0"/>
          <w:numId w:val="2"/>
        </w:numPr>
      </w:pPr>
      <w:r>
        <w:rPr/>
        <w:t xml:space="preserve">Специфика развития социального туризма в Российской Федерации </w:t>
      </w:r>
    </w:p>
    <w:p>
      <w:pPr>
        <w:numPr>
          <w:ilvl w:val="0"/>
          <w:numId w:val="2"/>
        </w:numPr>
      </w:pPr>
      <w:r>
        <w:rPr/>
        <w:t xml:space="preserve">Социальный туризм как форма поддержки населения в Республике Карели</w:t>
      </w:r>
    </w:p>
    <w:p>
      <w:pPr>
        <w:numPr>
          <w:ilvl w:val="0"/>
          <w:numId w:val="2"/>
        </w:numPr>
      </w:pPr>
      <w:r>
        <w:rPr/>
        <w:t xml:space="preserve">Правовые основы социального туризма в Российской Федерации</w:t>
      </w:r>
    </w:p>
    <w:p>
      <w:pPr>
        <w:numPr>
          <w:ilvl w:val="0"/>
          <w:numId w:val="2"/>
        </w:numPr>
      </w:pPr>
      <w:r>
        <w:rPr/>
        <w:t xml:space="preserve">Особенности услуг социального туризма в Республике Карелия и пути их развития</w:t>
      </w:r>
    </w:p>
    <w:p>
      <w:pPr>
        <w:numPr>
          <w:ilvl w:val="0"/>
          <w:numId w:val="2"/>
        </w:numPr>
      </w:pPr>
      <w:r>
        <w:rPr/>
        <w:t xml:space="preserve">Социальный туризм в системе социальной защиты населения </w:t>
      </w:r>
    </w:p>
    <w:p>
      <w:pPr>
        <w:numPr>
          <w:ilvl w:val="0"/>
          <w:numId w:val="2"/>
        </w:numPr>
      </w:pPr>
      <w:r>
        <w:rPr/>
        <w:t xml:space="preserve">Социальный туризм в Европе </w:t>
      </w:r>
    </w:p>
    <w:p>
      <w:pPr>
        <w:numPr>
          <w:ilvl w:val="0"/>
          <w:numId w:val="2"/>
        </w:numPr>
      </w:pPr>
      <w:r>
        <w:rPr/>
        <w:t xml:space="preserve">Понятие социального туризма и его ценность</w:t>
      </w:r>
    </w:p>
    <w:p>
      <w:pPr>
        <w:numPr>
          <w:ilvl w:val="0"/>
          <w:numId w:val="2"/>
        </w:numPr>
      </w:pPr>
      <w:r>
        <w:rPr/>
        <w:t xml:space="preserve">Задачи социального туризма.</w:t>
      </w:r>
    </w:p>
    <w:p>
      <w:pPr>
        <w:numPr>
          <w:ilvl w:val="0"/>
          <w:numId w:val="2"/>
        </w:numPr>
      </w:pPr>
      <w:r>
        <w:rPr/>
        <w:t xml:space="preserve">Виды социального туризма</w:t>
      </w:r>
    </w:p>
    <w:p>
      <w:pPr>
        <w:numPr>
          <w:ilvl w:val="0"/>
          <w:numId w:val="2"/>
        </w:numPr>
      </w:pPr>
      <w:r>
        <w:rPr/>
        <w:t xml:space="preserve">Типы социального туризма: внутренний, въездной, выездной.</w:t>
      </w:r>
    </w:p>
    <w:p>
      <w:pPr>
        <w:numPr>
          <w:ilvl w:val="0"/>
          <w:numId w:val="2"/>
        </w:numPr>
      </w:pPr>
      <w:r>
        <w:rPr/>
        <w:t xml:space="preserve">Мотивы социального туризма.</w:t>
      </w:r>
    </w:p>
    <w:p>
      <w:pPr>
        <w:numPr>
          <w:ilvl w:val="0"/>
          <w:numId w:val="2"/>
        </w:numPr>
      </w:pPr>
      <w:r>
        <w:rPr/>
        <w:t xml:space="preserve">Особенности организации социальных туров.</w:t>
      </w:r>
    </w:p>
    <w:p>
      <w:pPr>
        <w:numPr>
          <w:ilvl w:val="0"/>
          <w:numId w:val="2"/>
        </w:numPr>
      </w:pPr>
      <w:r>
        <w:rPr/>
        <w:t xml:space="preserve">Изучение спроса на услуги для социальных туристов.</w:t>
      </w:r>
    </w:p>
    <w:p>
      <w:pPr>
        <w:numPr>
          <w:ilvl w:val="0"/>
          <w:numId w:val="2"/>
        </w:numPr>
      </w:pPr>
      <w:r>
        <w:rPr/>
        <w:t xml:space="preserve">Требования к безопасности при планировании туров</w:t>
      </w:r>
    </w:p>
    <w:p>
      <w:pPr>
        <w:numPr>
          <w:ilvl w:val="0"/>
          <w:numId w:val="2"/>
        </w:numPr>
      </w:pPr>
      <w:r>
        <w:rPr/>
        <w:t xml:space="preserve">Особенности организации средств размещения для социальных туристов.</w:t>
      </w:r>
    </w:p>
    <w:p>
      <w:pPr>
        <w:numPr>
          <w:ilvl w:val="0"/>
          <w:numId w:val="2"/>
        </w:numPr>
      </w:pPr>
      <w:r>
        <w:rPr/>
        <w:t xml:space="preserve">Выбор вариантов питания для социальных туристов.</w:t>
      </w:r>
    </w:p>
    <w:p>
      <w:pPr>
        <w:numPr>
          <w:ilvl w:val="0"/>
          <w:numId w:val="2"/>
        </w:numPr>
      </w:pPr>
      <w:r>
        <w:rPr/>
        <w:t xml:space="preserve">Особенности транспортного обслуживания социальных туристов.</w:t>
      </w:r>
    </w:p>
    <w:p>
      <w:pPr>
        <w:numPr>
          <w:ilvl w:val="0"/>
          <w:numId w:val="2"/>
        </w:numPr>
      </w:pPr>
      <w:r>
        <w:rPr/>
        <w:t xml:space="preserve">Организация экскурсионных услуг для социальных туристов.</w:t>
      </w:r>
    </w:p>
    <w:p>
      <w:pPr>
        <w:numPr>
          <w:ilvl w:val="0"/>
          <w:numId w:val="2"/>
        </w:numPr>
      </w:pPr>
      <w:r>
        <w:rPr/>
        <w:t xml:space="preserve">Организация развлекательных услуг для социальных туристов.</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
        </w:numPr>
      </w:pPr>
      <w:r>
        <w:rPr/>
        <w:t xml:space="preserve">Самостоятельно определить объем времени, необходимого для проработки каждой темы.</w:t>
      </w:r>
    </w:p>
    <w:p>
      <w:pPr>
        <w:numPr>
          <w:ilvl w:val="0"/>
          <w:numId w:val="3"/>
        </w:numPr>
      </w:pPr>
      <w:r>
        <w:rPr/>
        <w:t xml:space="preserve">Регулярно изучать каждую тему дисциплины, используя различные формы индивидуальной работы.</w:t>
      </w:r>
    </w:p>
    <w:p>
      <w:pPr>
        <w:numPr>
          <w:ilvl w:val="0"/>
          <w:numId w:val="3"/>
        </w:numPr>
      </w:pPr>
      <w:r>
        <w:rPr/>
        <w:t xml:space="preserve">Согласовывать с преподавателем виды работы по изучению дисциплины.</w:t>
      </w:r>
    </w:p>
    <w:p>
      <w:pPr>
        <w:numPr>
          <w:ilvl w:val="0"/>
          <w:numId w:val="3"/>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
        </w:numPr>
      </w:pPr>
      <w:r>
        <w:rPr/>
        <w:t xml:space="preserve">Активность студентов на семинарских и практических занятиях;</w:t>
      </w:r>
    </w:p>
    <w:p>
      <w:pPr>
        <w:numPr>
          <w:ilvl w:val="0"/>
          <w:numId w:val="4"/>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4"/>
        </w:numPr>
      </w:pPr>
      <w:r>
        <w:rPr/>
        <w:t xml:space="preserve">Качество подготовки докладов, сообщений, эссе, контрольных и творческих заданий, конспектов и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Социально-культурная деятельность и туризм / Е. А. Антонова, Е. Н. Базаркина, С. О. Бахтина [и др.]. – Гжель : Гжельский государственный университет, 2023. – 100 с. – EDN OQISEM.</w:t>
      </w:r>
    </w:p>
    <w:p>
      <w:pPr>
        <w:numPr>
          <w:ilvl w:val="0"/>
          <w:numId w:val="5"/>
        </w:numPr>
      </w:pPr>
      <w:r>
        <w:rPr/>
        <w:t xml:space="preserve">Гварлиани, Т. Е. Социальный туризм в России: современная практика и потенциал развития / Т. Е. Гварлиани, Н. А. Януров // Экономика, предпринимательство и право. – 2024. – Т. 14, № 9. – С. 5159-5176. – DOI 10.18334/epp.14.9.121610. – EDN ITDOCE.</w:t>
      </w:r>
    </w:p>
    <w:p>
      <w:pPr>
        <w:numPr>
          <w:ilvl w:val="0"/>
          <w:numId w:val="5"/>
        </w:numPr>
      </w:pPr>
      <w:r>
        <w:rPr/>
        <w:t xml:space="preserve"> Шайдукова, Л. Д.  Социальная политика Российской Федерации : учебник для вузов / Л. Д. Шайдукова. — 2-е изд., перераб. и доп. — Москва : Издательство Юрайт, 2025. — 172 с. — (Высшее образование). — ISBN 978-5-534-17835-7. — Текст : электронный // Образовательная платформа Юрайт [сайт]. — URL: </w:t>
      </w:r>
      <w:hyperlink r:id="rId7" w:history="1">
        <w:r>
          <w:rPr/>
          <w:t xml:space="preserve">https://urait.ru/bcode/567988</w:t>
        </w:r>
      </w:hyperlink>
      <w:r>
        <w:rPr/>
        <w:t xml:space="preserve"> (дата обращения: 13.09.2025).</w:t>
      </w:r>
    </w:p>
    <w:p>
      <w:pPr>
        <w:numPr>
          <w:ilvl w:val="0"/>
          <w:numId w:val="5"/>
        </w:numPr>
      </w:pPr>
      <w:r>
        <w:rPr/>
        <w:t xml:space="preserve">Каменец, А. В.  Молодежный социальный туризм : учебник для вузов / А. В. Каменец, М. С. Кирова, И. А. Урмина ; под общей редакцией А. В. Каменца. — 2-е изд., испр. и доп. — Москва : Издательство Юрайт, 2025. — 189 с. — (Высшее образование). — ISBN 978-5-534-19902-4. — Текст : электронный // Образовательная платформа Юрайт [сайт]. — URL: </w:t>
      </w:r>
      <w:hyperlink r:id="rId8" w:history="1">
        <w:r>
          <w:rPr/>
          <w:t xml:space="preserve">https://urait.ru/bcode/561870</w:t>
        </w:r>
      </w:hyperlink>
      <w:r>
        <w:rPr/>
        <w:t xml:space="preserve"> (дата обращения: 13.09.2025).</w:t>
      </w:r>
    </w:p>
    <w:p>
      <w:pPr>
        <w:jc w:val="both"/>
        <w:ind w:left="0" w:right="0" w:firstLine="570" w:hanging="0"/>
        <w:spacing w:before="240" w:after="240"/>
      </w:pPr>
      <w:r>
        <w:rPr>
          <w:b w:val="1"/>
          <w:bCs w:val="1"/>
        </w:rPr>
        <w:t xml:space="preserve">8.2. Дополнительная литература:</w:t>
      </w:r>
    </w:p>
    <w:p>
      <w:pPr/>
      <w:r>
        <w:rPr/>
        <w:t xml:space="preserve">Иванова, Н. И. Социальный туризм : учебное пособие / Н. И. Иванова. — Санкт-Петербург : ИЭО СПбУТУиЭ, 2010. — 184 с. — ISBN 978-5-94048-053-2. — Текст : электронный // Лань : электронно-библиотечная система. — URL: https://e.lanbook.com/book/63911 (дата обращения: 13.09.2025). — Режим доступа: для авториз. пользователей.</w:t>
      </w:r>
    </w:p>
    <w:p>
      <w:pPr/>
      <w:r>
        <w:rPr/>
        <w:t xml:space="preserve">Донскова, Л. И. Социальный туризм: теория и практика [Электронный ресурс] : учеб. пособие / Л. И. Донскова, А. Г. Редькин ; АлтГУ. - Барнаул : АлтГУ, 2018. - </w:t>
      </w:r>
    </w:p>
    <w:p>
      <w:pPr/>
      <w:r>
        <w:rPr/>
        <w:t xml:space="preserve">Максименюк В. В., Журавлёва Т. В., Захарова С. А. ПОНЯТИЕ И ПРАВОВАЯ ПРИРОДА СОЦИАЛЬНОГО ТУРИЗМА // Вестник Полоцкого государственного университета. Серия D. Экономические и юридические науки. 2019. №14. URL: https://cyberleninka.ru/article/n/ponyatie-i-pravovaya-priroda-sotsialnogo-turizma (дата обращения: 13.09.2025).</w:t>
      </w:r>
    </w:p>
    <w:p>
      <w:pPr/>
      <w:r>
        <w:rPr/>
        <w:t xml:space="preserve">Донскова, Л. И. Исследование социального туризма в молодежном сегменте: современное состояние, проблемы и перспективы / Л. И. Донскова, А. А. Макаров, Е. В. Мягкова // Наука и туризм: стратегии взаимодействия. – 2019. – № 11. – С. 20-36. – </w:t>
      </w:r>
      <w:r>
        <w:rPr/>
        <w:t xml:space="preserve">EDN</w:t>
      </w:r>
      <w:r>
        <w:rPr/>
        <w:t xml:space="preserve"> </w:t>
      </w:r>
      <w:r>
        <w:rPr/>
        <w:t xml:space="preserve">QYVSOG</w:t>
      </w:r>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w:t>
      </w:r>
      <w:r>
        <w:rPr/>
        <w:t xml:space="preserve">Microsoft</w:t>
      </w:r>
      <w:r>
        <w:rPr/>
        <w:t xml:space="preserve"> </w:t>
      </w:r>
      <w:r>
        <w:rPr/>
        <w:t xml:space="preserve">Office</w:t>
      </w:r>
      <w:r>
        <w:rPr/>
        <w:t xml:space="preserve"> (</w:t>
      </w:r>
      <w:r>
        <w:rPr/>
        <w:t xml:space="preserve">Word</w:t>
      </w:r>
      <w:r>
        <w:rPr/>
        <w:t xml:space="preserve">, </w:t>
      </w:r>
      <w:r>
        <w:rPr/>
        <w:t xml:space="preserve">Excel</w:t>
      </w:r>
      <w:r>
        <w:rPr/>
        <w:t xml:space="preserve">, </w:t>
      </w:r>
      <w:r>
        <w:rPr/>
        <w:t xml:space="preserve">PowerPoint</w:t>
      </w:r>
      <w:r>
        <w:rPr/>
        <w:t xml:space="preserve">), </w:t>
      </w:r>
      <w:r>
        <w:rPr/>
        <w:t xml:space="preserve">R</w:t>
      </w:r>
      <w:r>
        <w:rPr/>
        <w:t xml:space="preserve">7-</w:t>
      </w:r>
      <w:r>
        <w:rPr/>
        <w:t xml:space="preserve">office</w:t>
      </w:r>
      <w:r>
        <w:rPr/>
        <w:t xml:space="preserv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 Научная электронная библиотека Республики Карелия. </w:t>
      </w:r>
      <w:r>
        <w:rPr/>
        <w:t xml:space="preserve">URL: http://elibrary.ru/ </w:t>
      </w:r>
    </w:p>
    <w:p>
      <w:pPr>
        <w:numPr>
          <w:ilvl w:val="0"/>
          <w:numId w:val="6"/>
        </w:numPr>
      </w:pPr>
      <w:r>
        <w:rPr/>
        <w:t xml:space="preserve"> Официальный интернет-портал Республики Карелия «Карелия официальная». </w:t>
      </w:r>
      <w:r>
        <w:rPr/>
        <w:t xml:space="preserve">URL: http://www.gov.karelia.ru/Power/struct.html</w:t>
      </w:r>
    </w:p>
    <w:p>
      <w:pPr>
        <w:numPr>
          <w:ilvl w:val="0"/>
          <w:numId w:val="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9" w:history="1">
        <w:r>
          <w:rPr/>
          <w:t xml:space="preserve">http://www.studentlibrary.ru</w:t>
        </w:r>
      </w:hyperlink>
    </w:p>
    <w:p>
      <w:pPr>
        <w:numPr>
          <w:ilvl w:val="0"/>
          <w:numId w:val="6"/>
        </w:numPr>
      </w:pPr>
      <w:r>
        <w:rPr/>
        <w:t xml:space="preserve">Электронная библиотечная система «Университетская библиотека онлайн». </w:t>
      </w:r>
      <w:r>
        <w:rPr/>
        <w:t xml:space="preserve">URL: </w:t>
      </w:r>
      <w:hyperlink r:id="rId10" w:history="1">
        <w:r>
          <w:rPr/>
          <w:t xml:space="preserve">http://biblioclub.ru</w:t>
        </w:r>
      </w:hyperlink>
    </w:p>
    <w:p>
      <w:pPr>
        <w:numPr>
          <w:ilvl w:val="0"/>
          <w:numId w:val="6"/>
        </w:numPr>
      </w:pPr>
      <w:r>
        <w:rPr/>
        <w:t xml:space="preserve"> Электронный каталог Научной библиотеки ПетрГУ. </w:t>
      </w:r>
      <w:r>
        <w:rPr/>
        <w:t xml:space="preserve">URL:   </w:t>
      </w:r>
      <w:hyperlink r:id="rId11" w:history="1">
        <w:r>
          <w:rPr/>
          <w:t xml:space="preserve">http://foliant.ru/catalog/psulibr</w:t>
        </w:r>
      </w:hyperlink>
    </w:p>
    <w:p>
      <w:pPr>
        <w:numPr>
          <w:ilvl w:val="0"/>
          <w:numId w:val="6"/>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6"/>
        </w:numPr>
      </w:pPr>
      <w:r>
        <w:rPr/>
        <w:t xml:space="preserve">Безбарьерная среда для маломобильных групп населения </w:t>
      </w:r>
      <w:r>
        <w:rPr/>
        <w:t xml:space="preserve">https</w:t>
      </w:r>
      <w:r>
        <w:rPr/>
        <w:t xml:space="preserve">://</w:t>
      </w:r>
      <w:r>
        <w:rPr/>
        <w:t xml:space="preserve">rosopeka</w:t>
      </w:r>
      <w:r>
        <w:rPr/>
        <w:t xml:space="preserve">.</w:t>
      </w:r>
      <w:r>
        <w:rPr/>
        <w:t xml:space="preserve">ru</w:t>
      </w:r>
      <w:r>
        <w:rPr/>
        <w:t xml:space="preserve">/</w:t>
      </w:r>
      <w:r>
        <w:rPr/>
        <w:t xml:space="preserve">dostupnaya</w:t>
      </w:r>
      <w:r>
        <w:rPr/>
        <w:t xml:space="preserve">-</w:t>
      </w:r>
      <w:r>
        <w:rPr/>
        <w:t xml:space="preserve">sreda</w:t>
      </w:r>
      <w:r>
        <w:rPr/>
        <w:t xml:space="preserve">/</w:t>
      </w:r>
    </w:p>
    <w:p>
      <w:pPr>
        <w:numPr>
          <w:ilvl w:val="0"/>
          <w:numId w:val="6"/>
        </w:numPr>
      </w:pPr>
      <w:r>
        <w:rPr/>
        <w:t xml:space="preserve">Инклюзивный туризм по всему миру </w:t>
      </w:r>
      <w:r>
        <w:rPr/>
        <w:t xml:space="preserve">The</w:t>
      </w:r>
      <w:r>
        <w:rPr/>
        <w:t xml:space="preserve"> </w:t>
      </w:r>
      <w:r>
        <w:rPr/>
        <w:t xml:space="preserve">Accessible</w:t>
      </w:r>
      <w:r>
        <w:rPr/>
        <w:t xml:space="preserve"> </w:t>
      </w:r>
      <w:r>
        <w:rPr/>
        <w:t xml:space="preserve">Planet</w:t>
      </w:r>
      <w:r>
        <w:rPr/>
        <w:t xml:space="preserve"> </w:t>
      </w:r>
      <w:r>
        <w:rPr/>
        <w:t xml:space="preserve">https</w:t>
      </w:r>
      <w:r>
        <w:rPr/>
        <w:t xml:space="preserve">://</w:t>
      </w:r>
      <w:r>
        <w:rPr/>
        <w:t xml:space="preserve">www</w:t>
      </w:r>
      <w:r>
        <w:rPr/>
        <w:t xml:space="preserve">.</w:t>
      </w:r>
      <w:r>
        <w:rPr/>
        <w:t xml:space="preserve">theaccessibleplanet</w:t>
      </w:r>
      <w:r>
        <w:rPr/>
        <w:t xml:space="preserve">.</w:t>
      </w:r>
      <w:r>
        <w:rPr/>
        <w:t xml:space="preserve">com</w:t>
      </w:r>
    </w:p>
    <w:p>
      <w:pPr>
        <w:numPr>
          <w:ilvl w:val="0"/>
          <w:numId w:val="6"/>
        </w:numPr>
      </w:pPr>
      <w:r>
        <w:rPr/>
        <w:t xml:space="preserve">Сайт Европейской сети доступного туризма </w:t>
      </w:r>
      <w:r>
        <w:rPr/>
        <w:t xml:space="preserve">ENAT</w:t>
      </w:r>
      <w:r>
        <w:rPr/>
        <w:t xml:space="preserve"> (</w:t>
      </w:r>
      <w:r>
        <w:rPr/>
        <w:t xml:space="preserve">European</w:t>
      </w:r>
      <w:r>
        <w:rPr/>
        <w:t xml:space="preserve"> </w:t>
      </w:r>
      <w:r>
        <w:rPr/>
        <w:t xml:space="preserve">Networkfor</w:t>
      </w:r>
      <w:r>
        <w:rPr/>
        <w:t xml:space="preserve"> </w:t>
      </w:r>
      <w:r>
        <w:rPr/>
        <w:t xml:space="preserve">Accessible</w:t>
      </w:r>
      <w:r>
        <w:rPr/>
        <w:t xml:space="preserve"> </w:t>
      </w:r>
      <w:r>
        <w:rPr/>
        <w:t xml:space="preserve">Tourism</w:t>
      </w:r>
      <w:r>
        <w:rPr/>
        <w:t xml:space="preserve">) </w:t>
      </w:r>
      <w:hyperlink r:id="rId12" w:history="1">
        <w:r>
          <w:rPr/>
          <w:t xml:space="preserve">https://www.accessibletourism.org</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 официальный сайт университета (</w:t>
      </w:r>
      <w:r>
        <w:rPr/>
        <w:t xml:space="preserve">https://petrsu.ru</w:t>
      </w:r>
      <w:r>
        <w:rPr/>
        <w:t xml:space="preserve">);</w:t>
      </w:r>
    </w:p>
    <w:p>
      <w:pPr/>
      <w:r>
        <w:rPr/>
        <w:t xml:space="preserve">           </w:t>
      </w:r>
      <w:r>
        <w:rPr/>
        <w:t xml:space="preserve"> Информационно-Аналитическая Интегрированная Система управления вузом (ИАИС) (</w:t>
      </w:r>
      <w:hyperlink r:id="rId13" w:history="1">
        <w:r>
          <w:rPr/>
          <w:t xml:space="preserve">https://iias.petrsu.ru</w:t>
        </w:r>
      </w:hyperlink>
      <w:r>
        <w:rPr/>
        <w:t xml:space="preserve">);</w:t>
      </w:r>
    </w:p>
    <w:p>
      <w:pPr/>
      <w:r>
        <w:rPr/>
        <w:t xml:space="preserve">           </w:t>
      </w:r>
      <w:r>
        <w:rPr/>
        <w:t xml:space="preserve"> образовательный портал ПетрГУ (</w:t>
      </w:r>
      <w:hyperlink r:id="rId14" w:history="1">
        <w:r>
          <w:rPr/>
          <w:t xml:space="preserve">https://edu.petrsu.ru</w:t>
        </w:r>
      </w:hyperlink>
      <w:r>
        <w:rPr/>
        <w:t xml:space="preserve">);</w:t>
      </w:r>
    </w:p>
    <w:p>
      <w:pPr/>
      <w:r>
        <w:rPr/>
        <w:t xml:space="preserve">           </w:t>
      </w:r>
      <w:r>
        <w:rPr/>
        <w:t xml:space="preserve"> система электронной поддержки учебных курсов на базе программного обеспечения </w:t>
      </w:r>
      <w:r>
        <w:rPr/>
        <w:t xml:space="preserve">Moodle</w:t>
      </w:r>
      <w:r>
        <w:rPr/>
        <w:t xml:space="preserve"> (</w:t>
      </w:r>
      <w:hyperlink r:id="rId15" w:history="1">
        <w:r>
          <w:rPr/>
          <w:t xml:space="preserve">https://moodle2.petrsu.ru</w:t>
        </w:r>
      </w:hyperlink>
      <w:r>
        <w:rPr/>
        <w:t xml:space="preserve"> ) со встроенными подсистемами тестирования;</w:t>
      </w:r>
    </w:p>
    <w:p>
      <w:pPr/>
      <w:r>
        <w:rPr/>
        <w:t xml:space="preserve">           </w:t>
      </w:r>
      <w:r>
        <w:rPr/>
        <w:t xml:space="preserve"> электронные портфолио обучающихся ПетрГУ (</w:t>
      </w:r>
      <w:hyperlink r:id="rId16" w:history="1">
        <w:r>
          <w:rPr/>
          <w:t xml:space="preserve">https://portfolio.petrsu.ru</w:t>
        </w:r>
      </w:hyperlink>
      <w:r>
        <w:rPr/>
        <w:t xml:space="preserve">);</w:t>
      </w:r>
    </w:p>
    <w:p>
      <w:pPr/>
      <w:r>
        <w:rPr/>
        <w:t xml:space="preserve">           </w:t>
      </w:r>
      <w:r>
        <w:rPr/>
        <w:t xml:space="preserve"> научная библиотека ПетрГУ (</w:t>
      </w:r>
      <w:hyperlink r:id="rId17" w:history="1">
        <w:r>
          <w:rPr/>
          <w:t xml:space="preserve">https://library.petrsu.ru</w:t>
        </w:r>
      </w:hyperlink>
      <w:r>
        <w:rPr/>
        <w:t xml:space="preserve">) и электронный каталог «Фолиант» (</w:t>
      </w:r>
      <w:hyperlink r:id="rId18" w:history="1">
        <w:r>
          <w:rPr/>
          <w:t xml:space="preserve">https://foliant.ru/catalog/psulibr</w:t>
        </w:r>
      </w:hyperlink>
      <w:r>
        <w:rPr/>
        <w:t xml:space="preserve">) ;</w:t>
      </w:r>
    </w:p>
    <w:p>
      <w:pPr/>
      <w:r>
        <w:rPr/>
        <w:t xml:space="preserve">           </w:t>
      </w:r>
      <w:r>
        <w:rPr/>
        <w:t xml:space="preserve"> электронная библиотека Республики Карелия (</w:t>
      </w:r>
      <w:hyperlink r:id="rId19" w:history="1">
        <w:r>
          <w:rPr/>
          <w:t xml:space="preserve">https://elibrary.karelia.ru</w:t>
        </w:r>
      </w:hyperlink>
      <w:r>
        <w:rPr/>
        <w:t xml:space="preserve">);</w:t>
      </w:r>
    </w:p>
    <w:p>
      <w:pPr/>
      <w:r>
        <w:rPr/>
        <w:t xml:space="preserve">           </w:t>
      </w:r>
      <w:r>
        <w:rPr/>
        <w:t xml:space="preserve"> электронные научные журналы ПетрГУ (</w:t>
      </w:r>
      <w:hyperlink r:id="rId20" w:history="1">
        <w:r>
          <w:rPr/>
          <w:t xml:space="preserve">https://petrsu.ru/page/science/journals</w:t>
        </w:r>
      </w:hyperlink>
      <w:r>
        <w:rPr/>
        <w:t xml:space="preserve">);</w:t>
      </w:r>
    </w:p>
    <w:p>
      <w:pPr/>
      <w:r>
        <w:rPr/>
        <w:t xml:space="preserve">           </w:t>
      </w:r>
      <w:r>
        <w:rPr/>
        <w:t xml:space="preserve"> корпоративная сеть ПетрГУ, включая беспроводной сегмент, и корпоративная почта;</w:t>
      </w:r>
    </w:p>
    <w:p>
      <w:pPr/>
      <w:r>
        <w:rPr/>
        <w:t xml:space="preserve">           </w:t>
      </w:r>
      <w:r>
        <w:rPr/>
        <w:t xml:space="preserve"> системы видеоконференцсвязи;</w:t>
      </w:r>
    </w:p>
    <w:p>
      <w:pPr/>
      <w:r>
        <w:rPr/>
        <w:t xml:space="preserve">           </w:t>
      </w:r>
      <w:r>
        <w:rPr/>
        <w:t xml:space="preserve"> официальные сообщества университета в социальных сетях («Вконтакте» (</w:t>
      </w:r>
      <w:hyperlink r:id="rId21" w:history="1">
        <w:r>
          <w:rPr/>
          <w:t xml:space="preserve">https://vk.com/petrsu_ru</w:t>
        </w:r>
      </w:hyperlink>
      <w:r>
        <w:rPr/>
        <w:t xml:space="preserve"> ) и др.;</w:t>
      </w:r>
    </w:p>
    <w:p>
      <w:pPr/>
      <w:r>
        <w:rPr/>
        <w:t xml:space="preserve">           </w:t>
      </w:r>
      <w:r>
        <w:rPr/>
        <w:t xml:space="preserve"> внешние электронные библиотечные системы («Университетская библиотека онлайн» (</w:t>
      </w:r>
      <w:hyperlink r:id="rId22" w:history="1">
        <w:r>
          <w:rPr/>
          <w:t xml:space="preserve">https://www.biblioclub.ru</w:t>
        </w:r>
      </w:hyperlink>
      <w:r>
        <w:rPr/>
        <w:t xml:space="preserve">), Издательств «Лань» (</w:t>
      </w:r>
      <w:hyperlink r:id="rId23" w:history="1">
        <w:r>
          <w:rPr/>
          <w:t xml:space="preserve">https://e.lanbook.com</w:t>
        </w:r>
      </w:hyperlink>
      <w:r>
        <w:rPr/>
        <w:t xml:space="preserve">), «Консультант студента.</w:t>
      </w:r>
    </w:p>
    <w:p>
      <w:pPr/>
      <w:r>
        <w:rPr/>
        <w:t xml:space="preserve">Студенческая электронная библиотека» </w:t>
      </w:r>
      <w:hyperlink r:id="rId24" w:history="1">
        <w:r>
          <w:rPr/>
          <w:t xml:space="preserve">https://www.studentlibrary.ru</w:t>
        </w:r>
      </w:hyperlink>
      <w:r>
        <w:rPr/>
        <w:t xml:space="preserve">),</w:t>
      </w:r>
      <w:r>
        <w:rPr/>
        <w:t xml:space="preserve"> </w:t>
      </w:r>
      <w:r>
        <w:rPr/>
        <w:t xml:space="preserve"> «Консультант врача: электронная медицинская библиотека» (</w:t>
      </w:r>
      <w:hyperlink r:id="rId25" w:history="1">
        <w:r>
          <w:rPr/>
          <w:t xml:space="preserve">https://www.rosmedlib.ru</w:t>
        </w:r>
      </w:hyperlink>
      <w:r>
        <w:rPr/>
        <w:t xml:space="preserve">));</w:t>
      </w:r>
    </w:p>
    <w:p>
      <w:pPr/>
      <w:r>
        <w:rPr/>
        <w:t xml:space="preserve">           </w:t>
      </w:r>
      <w:r>
        <w:rPr/>
        <w:t xml:space="preserve"> внешние образовательные платформы ("Юрайт" (</w:t>
      </w:r>
      <w:hyperlink r:id="rId26" w:history="1">
        <w:r>
          <w:rPr/>
          <w:t xml:space="preserve">https://urait.ru/</w:t>
        </w:r>
      </w:hyperlink>
      <w:r>
        <w:rPr/>
        <w:t xml:space="preserve">), </w:t>
      </w:r>
      <w:r>
        <w:rPr/>
        <w:t xml:space="preserve">E</w:t>
      </w:r>
      <w:r>
        <w:rPr/>
        <w:t xml:space="preserve">-</w:t>
      </w:r>
      <w:r>
        <w:rPr/>
        <w:t xml:space="preserve">nano</w:t>
      </w:r>
      <w:r>
        <w:rPr/>
        <w:t xml:space="preserve"> (</w:t>
      </w:r>
      <w:hyperlink r:id="rId27" w:history="1">
        <w:r>
          <w:rPr/>
          <w:t xml:space="preserve">https://edunano.ru/</w:t>
        </w:r>
      </w:hyperlink>
      <w:r>
        <w:rPr/>
        <w:t xml:space="preserve">) и др.)</w:t>
      </w:r>
    </w:p>
    <w:p>
      <w:pPr/>
      <w:r>
        <w:rPr/>
        <w:t xml:space="preserve">           </w:t>
      </w:r>
      <w:r>
        <w:rPr/>
        <w:t xml:space="preserve"> система «Антиплагиат.ВУЗ» (</w:t>
      </w:r>
      <w:hyperlink r:id="rId28" w:history="1">
        <w:r>
          <w:rPr/>
          <w:t xml:space="preserve">https://petrsu.antiplagiat.ru</w:t>
        </w:r>
      </w:hyperlink>
      <w:r>
        <w:rPr/>
        <w:t xml:space="preserve">);</w:t>
      </w:r>
    </w:p>
    <w:p>
      <w:pPr/>
      <w:r>
        <w:rPr/>
        <w:t xml:space="preserve">           </w:t>
      </w:r>
      <w:r>
        <w:rPr/>
        <w:t xml:space="preserve"> иные компоненты, необходимые для организации учебного процесса и взаимодействия компонентов ЭИОС.</w:t>
      </w:r>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A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DAB7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30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B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C00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515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10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3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988" TargetMode="External"/><Relationship Id="rId8" Type="http://schemas.openxmlformats.org/officeDocument/2006/relationships/hyperlink" Target="https://urait.ru/bcode/561870" TargetMode="External"/><Relationship Id="rId9" Type="http://schemas.openxmlformats.org/officeDocument/2006/relationships/hyperlink" Target="http://www.studentlibrary.ru" TargetMode="External"/><Relationship Id="rId10" Type="http://schemas.openxmlformats.org/officeDocument/2006/relationships/hyperlink" Target="http://biblioclub.ru" TargetMode="External"/><Relationship Id="rId11" Type="http://schemas.openxmlformats.org/officeDocument/2006/relationships/hyperlink" Target="http://foliant.ru/catalog/psulibr" TargetMode="External"/><Relationship Id="rId12" Type="http://schemas.openxmlformats.org/officeDocument/2006/relationships/hyperlink" Target="https://www.accessibletourism.org" TargetMode="External"/><Relationship Id="rId13" Type="http://schemas.openxmlformats.org/officeDocument/2006/relationships/hyperlink" Target="https://iias.petrsu.ru" TargetMode="External"/><Relationship Id="rId14" Type="http://schemas.openxmlformats.org/officeDocument/2006/relationships/hyperlink" Target="https://edu.petrsu.ru" TargetMode="External"/><Relationship Id="rId15" Type="http://schemas.openxmlformats.org/officeDocument/2006/relationships/hyperlink" Target="https://moodle2.petrsu.ru" TargetMode="External"/><Relationship Id="rId16" Type="http://schemas.openxmlformats.org/officeDocument/2006/relationships/hyperlink" Target="https://portfolio.petrsu.ru" TargetMode="External"/><Relationship Id="rId17" Type="http://schemas.openxmlformats.org/officeDocument/2006/relationships/hyperlink" Target="https://library.petrsu.ru" TargetMode="External"/><Relationship Id="rId18" Type="http://schemas.openxmlformats.org/officeDocument/2006/relationships/hyperlink" Target="https://foliant.ru/catalog/psulibr" TargetMode="External"/><Relationship Id="rId19" Type="http://schemas.openxmlformats.org/officeDocument/2006/relationships/hyperlink" Target="https://elibrary.karelia.ru" TargetMode="External"/><Relationship Id="rId20" Type="http://schemas.openxmlformats.org/officeDocument/2006/relationships/hyperlink" Target="/page/science/journals" TargetMode="External"/><Relationship Id="rId21" Type="http://schemas.openxmlformats.org/officeDocument/2006/relationships/hyperlink" Target="https://vk.com/petrsu_ru" TargetMode="External"/><Relationship Id="rId22" Type="http://schemas.openxmlformats.org/officeDocument/2006/relationships/hyperlink" Target="https://www.biblioclub.ru" TargetMode="External"/><Relationship Id="rId23" Type="http://schemas.openxmlformats.org/officeDocument/2006/relationships/hyperlink" Target="https://e.lanbook.com" TargetMode="External"/><Relationship Id="rId24" Type="http://schemas.openxmlformats.org/officeDocument/2006/relationships/hyperlink" Target="https://www.studentlibrary.ru" TargetMode="External"/><Relationship Id="rId25" Type="http://schemas.openxmlformats.org/officeDocument/2006/relationships/hyperlink" Target="https://www.rosmedlib.ru" TargetMode="External"/><Relationship Id="rId26" Type="http://schemas.openxmlformats.org/officeDocument/2006/relationships/hyperlink" Target="https://urait.ru/" TargetMode="External"/><Relationship Id="rId27" Type="http://schemas.openxmlformats.org/officeDocument/2006/relationships/hyperlink" Target="https://edunano.ru/" TargetMode="External"/><Relationship Id="rId28"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2026-04-23T14:35:36+03:00</dcterms:created>
  <dcterms:modified xsi:type="dcterms:W3CDTF">2026-04-23T14:35:36+03:00</dcterms:modified>
</cp:coreProperties>
</file>

<file path=docProps/custom.xml><?xml version="1.0" encoding="utf-8"?>
<Properties xmlns="http://schemas.openxmlformats.org/officeDocument/2006/custom-properties" xmlns:vt="http://schemas.openxmlformats.org/officeDocument/2006/docPropsVTypes"/>
</file>