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ПРОТИВОДЕЙСТВИЕ ТЕРРОРИЗМУ И ЭКСТРЕМИЗМУ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Знать теоретические и практические аспекты, формы и методы обучения, нормативно-правовую базу регламентирующую организацию образовательного процесса в предметной области безопасности жизнедеятельности и физической культуры;</w:t>
            </w:r>
          </w:p>
          <w:p/>
          <w:p>
            <w:pPr/>
            <w:r>
              <w:rPr/>
              <w:t xml:space="preserve">ПК-1.2. Уметь планировать и осуществлять учебный процесс в соответствии с нормативно-правовой документацией, возрастными психологическими и физиологическими особенностями личности,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культура;</w:t>
            </w:r>
          </w:p>
          <w:p/>
          <w:p>
            <w:pPr/>
            <w:r>
              <w:rPr/>
              <w:t xml:space="preserve">ПК-1.3.  Осуществлять воспитательную деятельность с учетом культурных различий детей, половозрастных и индивидуальных особенностей;</w:t>
            </w:r>
          </w:p>
          <w:p/>
          <w:p>
            <w:pPr/>
            <w:r>
              <w:rPr/>
              <w:t xml:space="preserve">ПК-1.4. Применять современные образовательные технологии, включая информационные, а также цифровые образовательные ресурсы.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Противодействие терроризму и экстремизму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 и экстремизм.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Понятие, история возникновения.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Терроризм. Причины, классификация.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основа противодействия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противодействия террористической и экстремистской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Практические меры по обеспечению антитеррористической защищенности сооружений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Ликвидация последствий террористических актов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изучение статистических данных по международному терроризму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сведений по современным террористическим угрозам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правовой основы противодействия терроризму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литературы и интернет-источников по способам борьбы с терроризмом и экстремизмом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антитеррористической защищенности сооружений за рубежом.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психологического аспекта террористической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итоговому собеседованию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ситуаций, тестирование, </w:t>
      </w:r>
      <w:r>
        <w:rPr/>
        <w:t xml:space="preserve">мозговой штурм, </w:t>
      </w:r>
      <w:r>
        <w:rPr/>
        <w:t xml:space="preserve">проблемное обучение, Кейс-технология, </w:t>
      </w:r>
      <w:r>
        <w:rPr/>
        <w:t xml:space="preserve">дерево решений.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Примерные вопросы:</w:t>
      </w:r>
    </w:p>
    <w:p>
      <w:pPr/>
      <w:r>
        <w:rPr/>
        <w:t xml:space="preserve">1. Дать определения терроризма и экстремизма.</w:t>
      </w:r>
      <w:br/>
      <w:r>
        <w:rPr/>
        <w:t xml:space="preserve">2.Назовите особенности современного терроризма.</w:t>
      </w:r>
      <w:br/>
      <w:r>
        <w:rPr/>
        <w:t xml:space="preserve">3.Что Уголовный кодекс РФ вводит в понятие «преступления террористического характера».</w:t>
      </w:r>
      <w:br/>
      <w:r>
        <w:rPr/>
        <w:t xml:space="preserve">4.Назовите причины возникновения терроризма.</w:t>
      </w:r>
      <w:br/>
      <w:r>
        <w:rPr/>
        <w:t xml:space="preserve">5.Каковы условия возникновения терроризма?</w:t>
      </w:r>
      <w:br/>
      <w:r>
        <w:rPr/>
        <w:t xml:space="preserve">6.Назовите виды современного терроризма по идеологической основе.</w:t>
      </w:r>
      <w:br/>
      <w:r>
        <w:rPr/>
        <w:t xml:space="preserve">7.Каковы условия возникновения современного терроризма?</w:t>
      </w:r>
      <w:br/>
      <w:r>
        <w:rPr/>
        <w:t xml:space="preserve">8.Классификация терроризма по средствам поражения.</w:t>
      </w:r>
      <w:br/>
      <w:r>
        <w:rPr/>
        <w:t xml:space="preserve">9.Назовите правовую основу противодействия терроризму.</w:t>
      </w:r>
      <w:br/>
      <w:r>
        <w:rPr/>
        <w:t xml:space="preserve">10.Меры противодействия телефонному терроризму.</w:t>
      </w:r>
      <w:br/>
      <w:r>
        <w:rPr/>
        <w:t xml:space="preserve">11.Каковы этапы взаимодействия террористов с заложниками?</w:t>
      </w:r>
      <w:br/>
      <w:r>
        <w:rPr/>
        <w:t xml:space="preserve">12. Дайте характеристику типам реакции заложников на ситуацию заложничества.</w:t>
      </w:r>
      <w:br/>
      <w:r>
        <w:rPr/>
        <w:t xml:space="preserve">13.Поведение заложников при длительном нахождении в положении заложничества.</w:t>
      </w:r>
      <w:br/>
      <w:r>
        <w:rPr/>
        <w:t xml:space="preserve">14.Назовите признаки взрывных устройств.</w:t>
      </w:r>
      <w:br/>
      <w:r>
        <w:rPr/>
        <w:t xml:space="preserve">15.Правила поведения заложников при освобождении.</w:t>
      </w:r>
      <w:br/>
      <w:r>
        <w:rPr/>
        <w:t xml:space="preserve">16.Правила поведения при обнаружении взрывного устройства.</w:t>
      </w:r>
      <w:br/>
      <w:r>
        <w:rPr/>
        <w:t xml:space="preserve">17.Правила безопасного поведения в аэропортах и на вокзалах.</w:t>
      </w:r>
      <w:br/>
      <w:r>
        <w:rPr/>
        <w:t xml:space="preserve">18.Безопасное поведение в самолете и поезде.</w:t>
      </w:r>
      <w:br/>
      <w:r>
        <w:rPr/>
        <w:t xml:space="preserve">19.Безопасное поведение в городском наземном транспорте и метро.</w:t>
      </w:r>
      <w:br/>
      <w:r>
        <w:rPr/>
        <w:t xml:space="preserve">20.Поражающие факторы минно-взрывных устройств.</w:t>
      </w:r>
      <w:br/>
      <w:r>
        <w:rPr/>
        <w:t xml:space="preserve">21.Особенности минно-взрывных травм.</w:t>
      </w:r>
      <w:br/>
      <w:r>
        <w:rPr/>
        <w:t xml:space="preserve">22.Характер повреждений внутренних органов при действии воздушноударной волны.</w:t>
      </w:r>
      <w:br/>
      <w:r>
        <w:rPr/>
        <w:t xml:space="preserve">23.Последствия минно-взрывных ранений и травм.</w:t>
      </w:r>
      <w:br/>
      <w:r>
        <w:rPr/>
        <w:t xml:space="preserve">24.Доврачебная помощь при МВП.</w:t>
      </w:r>
      <w:br/>
      <w:r>
        <w:rPr/>
        <w:t xml:space="preserve">25.Поведение при панике в толпе во время теракта.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Обучение складывается из аудиторных занятий ,включающих лекционный курс,  практические занятия и самостоятельную работу . Основное учебное время выделяется как на лекции, так и практические занятия, так как при освоении этой дисциплины практические навыки имеют наиболее важное  значение.</w:t>
      </w:r>
    </w:p>
    <w:p>
      <w:pPr/>
      <w:r>
        <w:rPr/>
        <w:t xml:space="preserve">Практические занятия включают в себя проверку знаний в виде выполнения практических заданий по темам прослушанных лекций,  а также  по проверке индивидуальных заданий в виде сообщений и докладов.</w:t>
      </w:r>
    </w:p>
    <w:p>
      <w:pPr/>
      <w:r>
        <w:rPr/>
        <w:t xml:space="preserve">На практических занятиях студент  закрепляет и углубляет знания, полученные в лекционном курсе; приобретает практические умения и навыки в выполнении отдельных приёмов, которые будет готов применить в условиях чрезвычайных ситуаций и опасностей, угрожающих детям. Перед практическим занятием студент знакомится с литературой по заданию преподавателя и на практике демонстрирует полученные теоретические знания.</w:t>
      </w:r>
    </w:p>
    <w:p>
      <w:pPr/>
      <w:r>
        <w:rPr/>
        <w:t xml:space="preserve">Темы заданий для самостоятельной работы определены в рабочей программе. Для их проработки необходимо использовать основную и дополнительную литературу, которая указана в списке литературы, а также изучить соответствующий раздел по каталогу в библиотеке университета.</w:t>
      </w:r>
    </w:p>
    <w:p>
      <w:pPr/>
      <w:r>
        <w:rPr/>
        <w:t xml:space="preserve">Важную роль в овладении содержания дисциплины «Терроризм» играет самостоятельная работа студентов. Основными формами контроля самостоятельной работой студентов являются опрос на практических занятиях.</w:t>
      </w:r>
    </w:p>
    <w:p>
      <w:pPr/>
      <w:r>
        <w:rPr/>
        <w:t xml:space="preserve">Рекомендации по подготовке к практическим занятиям.</w:t>
      </w:r>
    </w:p>
    <w:p>
      <w:pPr>
        <w:numPr>
          <w:ilvl w:val="0"/>
          <w:numId w:val="1"/>
        </w:numPr>
      </w:pPr>
      <w:r>
        <w:rPr/>
        <w:t xml:space="preserve">Прочитайте записанный на лекциях материал;</w:t>
      </w:r>
    </w:p>
    <w:p>
      <w:pPr>
        <w:numPr>
          <w:ilvl w:val="0"/>
          <w:numId w:val="1"/>
        </w:numPr>
      </w:pPr>
      <w:r>
        <w:rPr/>
        <w:t xml:space="preserve">Отметьте для себя трудные моменты, с которыми Вы столкнулись в лекционном материале, чтобы прояснить их самостоятельно путём изучения литературы, а во-вторых, задать уточняющие вопросы преподавателю на практических занятиях или индивидуальных консультациях;</w:t>
      </w:r>
    </w:p>
    <w:p>
      <w:pPr>
        <w:numPr>
          <w:ilvl w:val="0"/>
          <w:numId w:val="1"/>
        </w:numPr>
      </w:pPr>
      <w:r>
        <w:rPr/>
        <w:t xml:space="preserve">Ознакомьтесь с планом текущего практического занятия и списком литературы;</w:t>
      </w:r>
    </w:p>
    <w:p>
      <w:pPr>
        <w:numPr>
          <w:ilvl w:val="0"/>
          <w:numId w:val="1"/>
        </w:numPr>
      </w:pPr>
      <w:r>
        <w:rPr/>
        <w:t xml:space="preserve">Прочитайте учебную литературу по теме предстоящего занятия.</w:t>
      </w:r>
    </w:p>
    <w:p>
      <w:pPr>
        <w:numPr>
          <w:ilvl w:val="0"/>
          <w:numId w:val="1"/>
        </w:numPr>
      </w:pPr>
      <w:r>
        <w:rPr/>
        <w:t xml:space="preserve">В ходе чтения лекций и материалов учебников выделяйте моменты, которые требуют дополнительной консультации преподавателя.</w:t>
      </w:r>
    </w:p>
    <w:p>
      <w:pPr/>
      <w:r>
        <w:rPr/>
        <w:t xml:space="preserve">Условием допуска обучающегося к зачету по дисциплине является посещение им лекций и практических занятий, а также выполнение практических работ. Вопросы к зачёту составлены по всем темам дисциплины. При подготовке к зачёту следует пользоваться основной и дополнительной литературой, лекционным материалом, электронными ресурсами образовательного портала ПетрГУ. Форма зачета – устный опрос по разделам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организации учебного процесса по дисциплине «Терроризм» необходимо иметь в виду, что все аудиторные занятия разделены на два вида: лекции и практические занятия. В ходе лекций преподавателем задаются рамки изучения каждой конкретной темы, дается необходимый терминологический аппарат, формулируются и разбираются наиболее сложные проблемы. Отдельные темы курса, содержащие большее количество конкретного материала, целесообразно читать с использованием мультимедийных презентаций. Они позволяют четко структурировать объем лекционного материала, иллюстрировать лекцию  материалами по  соответствующей теме, повышая интерес студентов к изучаемому материалу и стимулирующих студентов на создание собственных презентаций как оценочного средства.</w:t>
      </w:r>
    </w:p>
    <w:p>
      <w:pPr/>
      <w:r>
        <w:rPr/>
        <w:t xml:space="preserve">Проведение практических занятий целесообразно строить следующим образом:</w:t>
      </w:r>
    </w:p>
    <w:p>
      <w:pPr>
        <w:numPr>
          <w:ilvl w:val="0"/>
          <w:numId w:val="2"/>
        </w:numPr>
      </w:pPr>
      <w:r>
        <w:rPr/>
        <w:t xml:space="preserve">Вводная часть преподавателя (цели занятия, основные вопросы, которые должны быть рассмотрены).</w:t>
      </w:r>
    </w:p>
    <w:p>
      <w:pPr>
        <w:numPr>
          <w:ilvl w:val="0"/>
          <w:numId w:val="2"/>
        </w:numPr>
      </w:pPr>
      <w:r>
        <w:rPr/>
        <w:t xml:space="preserve">Беглый опрос пройденного и текущего лекционного материала.</w:t>
      </w:r>
    </w:p>
    <w:p>
      <w:pPr>
        <w:numPr>
          <w:ilvl w:val="0"/>
          <w:numId w:val="2"/>
        </w:numPr>
      </w:pPr>
      <w:r>
        <w:rPr/>
        <w:t xml:space="preserve">Обсуждение вопросов, вынесенных на самостоятельное изучение.</w:t>
      </w:r>
    </w:p>
    <w:p>
      <w:pPr>
        <w:numPr>
          <w:ilvl w:val="0"/>
          <w:numId w:val="2"/>
        </w:numPr>
      </w:pPr>
      <w:r>
        <w:rPr/>
        <w:t xml:space="preserve">Формулирование и закрепление основных теоретических и практических выводов из рассматриваемого материала.</w:t>
      </w:r>
    </w:p>
    <w:p>
      <w:pPr/>
      <w:r>
        <w:rPr/>
        <w:t xml:space="preserve">Вопросы, оставшиеся у студентов после аудиторных занятий, целесообразно решать в ходе индивидуальных консультаций.</w:t>
      </w:r>
    </w:p>
    <w:p>
      <w:pPr/>
      <w:r>
        <w:rPr/>
        <w:t xml:space="preserve">При проведении занятий рекомендуется пользоваться такими оценочными средствами как тестирование, опрос, собеседование, решение ситуационных задач, кейс-технология. Рекомендуется использовать презентации в PowerPoint на лекциях и практических занятиях.</w:t>
      </w:r>
    </w:p>
    <w:p>
      <w:pPr/>
      <w:r>
        <w:rPr/>
        <w:t xml:space="preserve"> Подробно оценочные средства  и критерии оценки описаны в ФОС.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Аникина Т.А., Крылова А.В., Гиззатуллин А.Р., Зверев А.А., Зефиров</w:t>
      </w:r>
      <w:br/>
      <w:r>
        <w:rPr/>
        <w:t xml:space="preserve">Т.Л. «Предотвращение террористических угроз среди населения» / Т.А.</w:t>
      </w:r>
      <w:br/>
      <w:r>
        <w:rPr/>
        <w:t xml:space="preserve">Аникина, А.В. Крылова, А.Р. Гиззатуллин, А.А. Зверев, Т.Л. Зефиров –</w:t>
      </w:r>
      <w:br/>
      <w:r>
        <w:rPr/>
        <w:t xml:space="preserve">Казань: , 2016. – 101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Конституция Российской Федерации (принята всенародным голосованием 12.12.1993 с изменениями, одобренными в ходе общероссийского голосования 01.07.2020)</w:t>
      </w:r>
    </w:p>
    <w:p>
      <w:pPr>
        <w:numPr>
          <w:ilvl w:val="0"/>
          <w:numId w:val="3"/>
        </w:numPr>
      </w:pPr>
      <w:r>
        <w:rPr/>
        <w:t xml:space="preserve">Уголовный кодекс Российской Федерации от 13.06.1996 N 63-ФЗ (ред. от 25.03.2022)</w:t>
      </w:r>
    </w:p>
    <w:p>
      <w:pPr>
        <w:numPr>
          <w:ilvl w:val="0"/>
          <w:numId w:val="3"/>
        </w:numPr>
      </w:pPr>
      <w:r>
        <w:rPr/>
        <w:t xml:space="preserve">Федеральный закон "О противодействии терроризму" от 06.03.2006 N 35-ФЗ (последняя редакция)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Наукометрическая и реферативная база данных SCOPUS - </w:t>
      </w:r>
      <w:hyperlink r:id="rId7" w:history="1">
        <w:r>
          <w:rPr/>
          <w:t xml:space="preserve">https://www.scopus.com</w:t>
        </w:r>
      </w:hyperlink>
    </w:p>
    <w:p>
      <w:pPr/>
      <w:r>
        <w:rPr/>
        <w:t xml:space="preserve">Справочно-правовая система «Консультант Плюс» </w:t>
      </w:r>
      <w:hyperlink r:id="rId8" w:history="1">
        <w:r>
          <w:rPr/>
          <w:t xml:space="preserve">www.consultant.ru</w:t>
        </w:r>
      </w:hyperlink>
    </w:p>
    <w:p>
      <w:pPr/>
      <w:r>
        <w:rPr/>
        <w:t xml:space="preserve">Справочно-правовая система «Гарант» » </w:t>
      </w:r>
      <w:hyperlink r:id="rId9" w:history="1">
        <w:r>
          <w:rPr/>
          <w:t xml:space="preserve">www.garant.ru</w:t>
        </w:r>
      </w:hyperlink>
    </w:p>
    <w:p>
      <w:pPr/>
      <w:r>
        <w:rPr/>
        <w:t xml:space="preserve">Сайт Научной электронной библиотеки </w:t>
      </w:r>
      <w:hyperlink r:id="rId10" w:history="1">
        <w:r>
          <w:rPr/>
          <w:t xml:space="preserve">www.elibrary.ru</w:t>
        </w:r>
      </w:hyperlink>
    </w:p>
    <w:p>
      <w:pPr/>
      <w:r>
        <w:rPr/>
        <w:t xml:space="preserve">Федеральная служба государственной статистики - </w:t>
      </w:r>
      <w:hyperlink r:id="rId11" w:history="1">
        <w:r>
          <w:rPr/>
          <w:t xml:space="preserve">https://rosstat.gov.ru/</w:t>
        </w:r>
      </w:hyperlink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C64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A046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625E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9D86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opus.com" TargetMode="External"/><Relationship Id="rId8" Type="http://schemas.openxmlformats.org/officeDocument/2006/relationships/hyperlink" Target="http://www.consultant.ru" TargetMode="External"/><Relationship Id="rId9" Type="http://schemas.openxmlformats.org/officeDocument/2006/relationships/hyperlink" Target="http://www.garant.ru" TargetMode="External"/><Relationship Id="rId10" Type="http://schemas.openxmlformats.org/officeDocument/2006/relationships/hyperlink" Target="http://www.elibrary.ru" TargetMode="External"/><Relationship Id="rId11" Type="http://schemas.openxmlformats.org/officeDocument/2006/relationships/hyperlink" Target="https://rosstat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2026-04-21T00:04:06+03:00</dcterms:created>
  <dcterms:modified xsi:type="dcterms:W3CDTF">2026-04-21T00:04:06+03:00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