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Топос культуры и проблематика ее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изучения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культурологии. Предмет философии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критицизма в отношении к культуре в европейском и русском «прочтении»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Отношение к феномену нигилизма в отечественной культуре конца XIX — начала XX столетия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«Русский модернизм»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 </w:t>
      </w:r>
    </w:p>
    <w:p>
      <w:pPr/>
      <w:r>
        <w:rPr/>
        <w:t xml:space="preserve">2) интерактивные формы обучения, заключающиеся в обращении к интернет- </w:t>
      </w:r>
    </w:p>
    <w:p>
      <w:pPr/>
      <w:r>
        <w:rPr/>
        <w:t xml:space="preserve">ресурсам; </w:t>
      </w:r>
    </w:p>
    <w:p>
      <w:pPr/>
      <w:r>
        <w:rPr/>
        <w:t xml:space="preserve">3) проблемное обучение.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 </w:t>
      </w:r>
    </w:p>
    <w:p>
      <w:pPr>
        <w:numPr>
          <w:ilvl w:val="0"/>
          <w:numId w:val="1"/>
        </w:numPr>
      </w:pPr>
      <w:r>
        <w:rPr/>
        <w:t xml:space="preserve">Коммуникация и автокоммуникация в культуре.</w:t>
      </w:r>
    </w:p>
    <w:p>
      <w:pPr>
        <w:numPr>
          <w:ilvl w:val="0"/>
          <w:numId w:val="1"/>
        </w:numPr>
      </w:pPr>
      <w:r>
        <w:rPr/>
        <w:t xml:space="preserve">Система “Я-Он” и система “Я-Я” в культуре.</w:t>
      </w:r>
    </w:p>
    <w:p>
      <w:pPr>
        <w:numPr>
          <w:ilvl w:val="0"/>
          <w:numId w:val="1"/>
        </w:numPr>
      </w:pPr>
      <w:r>
        <w:rPr/>
        <w:t xml:space="preserve">“Разрушение” знака в современной культуре.</w:t>
      </w:r>
    </w:p>
    <w:p>
      <w:pPr>
        <w:numPr>
          <w:ilvl w:val="0"/>
          <w:numId w:val="1"/>
        </w:numPr>
      </w:pPr>
      <w:r>
        <w:rPr/>
        <w:t xml:space="preserve">Понятие “текста культуры”</w:t>
      </w:r>
    </w:p>
    <w:p>
      <w:pPr>
        <w:numPr>
          <w:ilvl w:val="0"/>
          <w:numId w:val="1"/>
        </w:numPr>
      </w:pPr>
      <w:r>
        <w:rPr/>
        <w:t xml:space="preserve"> Знак и символ в системе культуры.</w:t>
      </w:r>
    </w:p>
    <w:p>
      <w:pPr>
        <w:numPr>
          <w:ilvl w:val="0"/>
          <w:numId w:val="1"/>
        </w:numPr>
      </w:pPr>
      <w:r>
        <w:rPr/>
        <w:t xml:space="preserve"> “Символические пространства” в культуре.</w:t>
      </w:r>
    </w:p>
    <w:p>
      <w:pPr>
        <w:numPr>
          <w:ilvl w:val="0"/>
          <w:numId w:val="1"/>
        </w:numPr>
      </w:pPr>
      <w:r>
        <w:rPr/>
        <w:t xml:space="preserve"> Понимание. Онтология понимания.</w:t>
      </w:r>
    </w:p>
    <w:p>
      <w:pPr>
        <w:numPr>
          <w:ilvl w:val="0"/>
          <w:numId w:val="1"/>
        </w:numPr>
      </w:pPr>
      <w:r>
        <w:rPr/>
        <w:t xml:space="preserve"> “Тексты” культуры в опыте интерпретации</w:t>
      </w:r>
    </w:p>
    <w:p>
      <w:pPr>
        <w:numPr>
          <w:ilvl w:val="0"/>
          <w:numId w:val="1"/>
        </w:numPr>
      </w:pPr>
      <w:r>
        <w:rPr/>
        <w:t xml:space="preserve">Опыт критицизма в отношении к культуре в европейском</w:t>
      </w:r>
      <w:br/>
      <w:r>
        <w:rPr/>
        <w:t xml:space="preserve">и русском «прочтении»</w:t>
      </w:r>
    </w:p>
    <w:p>
      <w:pPr>
        <w:numPr>
          <w:ilvl w:val="0"/>
          <w:numId w:val="1"/>
        </w:numPr>
      </w:pPr>
      <w:r>
        <w:rPr/>
        <w:t xml:space="preserve"> Отношение к феномену нигилизма в отечественной культуре</w:t>
      </w:r>
      <w:br/>
      <w:r>
        <w:rPr/>
        <w:t xml:space="preserve">конца XIX — начала XX столетия</w:t>
      </w:r>
    </w:p>
    <w:p>
      <w:pPr>
        <w:numPr>
          <w:ilvl w:val="0"/>
          <w:numId w:val="1"/>
        </w:numPr>
      </w:pPr>
      <w:r>
        <w:rPr/>
        <w:t xml:space="preserve"> Тема целостности, как определяющая тема русской культуры и сознания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Темы для обсуждения</w:t>
      </w:r>
      <w:r>
        <w:rPr>
          <w:b w:val="1"/>
          <w:bCs w:val="1"/>
        </w:rPr>
        <w:t xml:space="preserve">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культурологии.</w:t>
      </w:r>
    </w:p>
    <w:p>
      <w:pPr>
        <w:numPr>
          <w:ilvl w:val="0"/>
          <w:numId w:val="2"/>
        </w:numPr>
      </w:pPr>
      <w:r>
        <w:rPr/>
        <w:t xml:space="preserve">Предмет философии культуры.</w:t>
      </w:r>
    </w:p>
    <w:p>
      <w:pPr>
        <w:numPr>
          <w:ilvl w:val="0"/>
          <w:numId w:val="2"/>
        </w:numPr>
      </w:pPr>
      <w:r>
        <w:rPr/>
        <w:t xml:space="preserve">Междисциплинарный подход к изучению феномена культуры.</w:t>
      </w:r>
    </w:p>
    <w:p>
      <w:pPr>
        <w:numPr>
          <w:ilvl w:val="0"/>
          <w:numId w:val="2"/>
        </w:numPr>
      </w:pPr>
      <w:r>
        <w:rPr/>
        <w:t xml:space="preserve">Методологические проблемы исследования сущности культуры.</w:t>
      </w:r>
    </w:p>
    <w:p>
      <w:pPr>
        <w:numPr>
          <w:ilvl w:val="0"/>
          <w:numId w:val="2"/>
        </w:numPr>
      </w:pPr>
      <w:r>
        <w:rPr/>
        <w:t xml:space="preserve">Структура культурного бытия человека.</w:t>
      </w:r>
    </w:p>
    <w:p>
      <w:pPr>
        <w:numPr>
          <w:ilvl w:val="0"/>
          <w:numId w:val="2"/>
        </w:numPr>
      </w:pPr>
      <w:r>
        <w:rPr/>
        <w:t xml:space="preserve">Духовное и материальное в культуре.</w:t>
      </w:r>
    </w:p>
    <w:p>
      <w:pPr>
        <w:numPr>
          <w:ilvl w:val="0"/>
          <w:numId w:val="2"/>
        </w:numPr>
      </w:pPr>
      <w:r>
        <w:rPr/>
        <w:t xml:space="preserve">Артефактическое строение культуры.</w:t>
      </w:r>
    </w:p>
    <w:p>
      <w:pPr>
        <w:numPr>
          <w:ilvl w:val="0"/>
          <w:numId w:val="2"/>
        </w:numPr>
      </w:pPr>
      <w:r>
        <w:rPr/>
        <w:t xml:space="preserve">Природа и культура.</w:t>
      </w:r>
    </w:p>
    <w:p>
      <w:pPr>
        <w:numPr>
          <w:ilvl w:val="0"/>
          <w:numId w:val="2"/>
        </w:numPr>
      </w:pPr>
      <w:r>
        <w:rPr/>
        <w:t xml:space="preserve">Культура и цивилизация.</w:t>
      </w:r>
    </w:p>
    <w:p>
      <w:pPr>
        <w:numPr>
          <w:ilvl w:val="0"/>
          <w:numId w:val="2"/>
        </w:numPr>
      </w:pPr>
      <w:r>
        <w:rPr/>
        <w:t xml:space="preserve">Понятие цивилизации.</w:t>
      </w:r>
    </w:p>
    <w:p>
      <w:pPr>
        <w:numPr>
          <w:ilvl w:val="0"/>
          <w:numId w:val="2"/>
        </w:numPr>
      </w:pPr>
      <w:r>
        <w:rPr/>
        <w:t xml:space="preserve">Формация и цивилизация. Запад и Восток.</w:t>
      </w:r>
    </w:p>
    <w:p>
      <w:pPr>
        <w:numPr>
          <w:ilvl w:val="0"/>
          <w:numId w:val="2"/>
        </w:numPr>
      </w:pPr>
      <w:r>
        <w:rPr/>
        <w:t xml:space="preserve">Типологии культур.</w:t>
      </w:r>
    </w:p>
    <w:p>
      <w:pPr>
        <w:numPr>
          <w:ilvl w:val="0"/>
          <w:numId w:val="2"/>
        </w:numPr>
      </w:pPr>
      <w:r>
        <w:rPr/>
        <w:t xml:space="preserve">Миф, философия, религия, искусство, наука, как формы культуры.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 </w:t>
      </w:r>
    </w:p>
    <w:p>
      <w:pPr/>
      <w:r>
        <w:rPr/>
        <w:t xml:space="preserve">Важную роль в овладении предмета играет самостоятельная работа обучающихся. В процессе учебы обучающийся выполняет следующие виды самостоятельной работы: — знакомство с литературой по курсу 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  </w:t>
      </w:r>
    </w:p>
    <w:p>
      <w:pPr/>
      <w:r>
        <w:rPr/>
        <w:t xml:space="preserve">— 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Рекомендации по написанию эссе:</w:t>
      </w:r>
      <w:r>
        <w:rPr/>
        <w:t xml:space="preserve"> </w:t>
      </w:r>
    </w:p>
    <w:p>
      <w:pPr/>
      <w:r>
        <w:rPr/>
        <w:t xml:space="preserve">Эссе обучающегося – это самостоятельная письменная работа на тему, предложенную преподавателем (тема может быть предложена и самим обучающимся, но обязательно должна быть согласована с преподавателем). Эссе – это сочинение небольшого, написанное на конкретную тему; свободной композиции (в эссе обучающегося не требуется такого раздела, как «оглавление» с четким перечислением глав и параграфов в силу небольшого объема работы); выражающее индивидуальные впечатления и соображения студента по конкретному вопросу; эссе не претендует на исчерпывающее раскрытие темы и представляет попытку обучающегося  передать свои собственные взгляды на проблему. </w:t>
      </w:r>
    </w:p>
    <w:p>
      <w:pPr/>
      <w:r>
        <w:rPr/>
        <w:t xml:space="preserve">Обучающимся можно порекомендовать следующие этапы работы по написанию эссе как размышление над проблемой: 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 </w:t>
      </w:r>
    </w:p>
    <w:p>
      <w:pPr/>
      <w:r>
        <w:rPr/>
        <w:t xml:space="preserve">2) Найти в литературе или сформулировать самому иные, в том числе – альтернативные точки зрения по рассматриваемой проблеме. 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  </w:t>
      </w:r>
    </w:p>
    <w:p>
      <w:pPr/>
      <w:r>
        <w:rPr/>
        <w:t xml:space="preserve">4) В заключении не забыть сформулировать вывод </w:t>
      </w:r>
    </w:p>
    <w:p>
      <w:pPr/>
      <w:r>
        <w:rPr>
          <w:b w:val="1"/>
          <w:bCs w:val="1"/>
        </w:rPr>
        <w:t xml:space="preserve">Структура эссе-размышления </w:t>
      </w:r>
      <w:r>
        <w:rPr/>
        <w:t xml:space="preserve"> </w:t>
      </w:r>
    </w:p>
    <w:p>
      <w:pPr/>
      <w:r>
        <w:rPr/>
        <w:t xml:space="preserve">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обучающийся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  </w:t>
      </w:r>
    </w:p>
    <w:p>
      <w:pPr/>
      <w:r>
        <w:rPr/>
        <w:t xml:space="preserve">Правила оформления эссе   Объем эссе – от 2-х до 7 страниц печатного текста. Листы должны быть пронумерованы и скреплены вместе. Гарнитура шрифта – Times New 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обучающимися для самоподготовки и подготовки к зачету.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 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</w:t>
      </w:r>
    </w:p>
    <w:p>
      <w:pPr/>
      <w:r>
        <w:rPr/>
        <w:t xml:space="preserve">быть рассмотрены) 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4"/>
        </w:numPr>
      </w:pPr>
      <w:r>
        <w:rPr/>
        <w:t xml:space="preserve">Обсуждение докладов или эссе, подготовленных обучающимися</w:t>
      </w:r>
    </w:p>
    <w:p>
      <w:pPr>
        <w:numPr>
          <w:ilvl w:val="0"/>
          <w:numId w:val="4"/>
        </w:numPr>
      </w:pPr>
      <w:r>
        <w:rPr/>
        <w:t xml:space="preserve">Проверка знаний обучающихся путем тестирования или письменного ответа на</w:t>
      </w:r>
    </w:p>
    <w:p>
      <w:pPr/>
      <w:r>
        <w:rPr/>
        <w:t xml:space="preserve">вопросы (при необходимости) 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 В процессе чтения курса преподаватель опирается на следующие методы:</w:t>
      </w:r>
    </w:p>
    <w:p>
      <w:pPr/>
      <w:r>
        <w:rPr/>
        <w:t xml:space="preserve">1 Объяснительно-иллюстративный метод. Обучающиеся получают знания на лекции, </w:t>
      </w:r>
    </w:p>
    <w:p>
      <w:pPr/>
      <w:r>
        <w:rPr/>
        <w:t xml:space="preserve">из учебной и методической литературы. </w:t>
      </w:r>
    </w:p>
    <w:p>
      <w:pPr/>
      <w:r>
        <w:rPr/>
        <w:t xml:space="preserve">2 Метод проблемного изложения.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Антология мировой философии / ред. В.В. Соколов. - Москва : Мысль, 1969. - Т. 1. - Ч. 1. - 576 с. - ISBN 9785998938405; То же [Электронный ресурс]. - URL:</w:t>
      </w:r>
      <w:hyperlink r:id="rId7" w:history="1">
        <w:r>
          <w:rPr/>
          <w:t xml:space="preserve">http://biblioclub.ru/index.php?page=book&amp;id=52260 (24.03.2017) </w:t>
        </w:r>
      </w:hyperlink>
      <w:r>
        <w:rPr/>
        <w:t xml:space="preserve">.  </w:t>
      </w:r>
    </w:p>
    <w:p>
      <w:pPr>
        <w:numPr>
          <w:ilvl w:val="0"/>
          <w:numId w:val="6"/>
        </w:numPr>
      </w:pPr>
      <w:r>
        <w:rPr/>
        <w:t xml:space="preserve"> Истина и метод : основы философской герменевтики : перевод с немецкого / Г.-Г. Гадамер ; общ. ред. и вступ. ст. Б. Н. Бессонова. - Москва : Прогресс, 1988. - 699, [1] с. ; 21 см. -</w:t>
      </w:r>
    </w:p>
    <w:p>
      <w:pPr>
        <w:numPr>
          <w:ilvl w:val="0"/>
          <w:numId w:val="7"/>
        </w:numPr>
      </w:pPr>
      <w:r>
        <w:rPr/>
        <w:t xml:space="preserve">Гуревич, П. С. Философия культуры : учебное пособие для студентов гуманитарных вузов / П. С. Гуревич. - 2-е изд., доп. - Москва : Аспект Пресс, 1995. - 286,</w:t>
      </w:r>
    </w:p>
    <w:p>
      <w:pPr>
        <w:numPr>
          <w:ilvl w:val="0"/>
          <w:numId w:val="7"/>
        </w:numPr>
      </w:pPr>
      <w:r>
        <w:rPr/>
        <w:t xml:space="preserve">Древние цивилизации / [Аверинцев С. С. [и др.] ; под ред. Г. М. Бонгард-Левина. - Москва : Мысль, 1989. - 479 с. </w:t>
      </w:r>
    </w:p>
    <w:p>
      <w:pPr>
        <w:numPr>
          <w:ilvl w:val="0"/>
          <w:numId w:val="7"/>
        </w:numPr>
      </w:pPr>
      <w:r>
        <w:rPr/>
        <w:t xml:space="preserve">Из истории русской культуры, Т. 1, Древняя Русь. - Москва : Языки русской культуры, 2000. - 755 с. ;</w:t>
      </w:r>
    </w:p>
    <w:p>
      <w:pPr>
        <w:numPr>
          <w:ilvl w:val="0"/>
          <w:numId w:val="7"/>
        </w:numPr>
      </w:pPr>
      <w:r>
        <w:rPr/>
        <w:t xml:space="preserve">Каган, М. С. Философия культуры / Акад. гуманит. наук. С.-Петербург. гуманит. ун-т профсоюзов. Гос. науч. - исслед. программа "Народы России: возрождение и развитие". С.-Петербург. гос.ун-т. - Санкт-Петербург : Петрополис, 1996. –</w:t>
      </w:r>
    </w:p>
    <w:p>
      <w:pPr>
        <w:numPr>
          <w:ilvl w:val="0"/>
          <w:numId w:val="7"/>
        </w:numPr>
      </w:pPr>
      <w:r>
        <w:rPr/>
        <w:t xml:space="preserve">Каган, М. С. (СПбГУ). Диалектика бытия и небытия в жизни человеческого общества / М. С. Каган // Личность. Культура. Общество. - 2003. - Т. 5, N 3/4. - С. 29-43. - (Вопросы теории и методологии)</w:t>
      </w:r>
    </w:p>
    <w:p>
      <w:pPr>
        <w:numPr>
          <w:ilvl w:val="0"/>
          <w:numId w:val="7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: ил. ; 22 см.</w:t>
      </w:r>
    </w:p>
    <w:p>
      <w:pPr>
        <w:numPr>
          <w:ilvl w:val="0"/>
          <w:numId w:val="7"/>
        </w:numPr>
      </w:pPr>
      <w:r>
        <w:rPr/>
        <w:t xml:space="preserve">Лотман, Ю. М. Избранные статьи : В 3т. / Ю. М. Лотман ; Оформ.М.Руйзо, Т. 1, Статьи по семиотике и типологии культуры. - Таллинн : Александра, 1992. - 479 с. </w:t>
      </w:r>
    </w:p>
    <w:p>
      <w:pPr>
        <w:numPr>
          <w:ilvl w:val="0"/>
          <w:numId w:val="7"/>
        </w:numPr>
      </w:pPr>
      <w:r>
        <w:rPr/>
        <w:t xml:space="preserve">Лотман, Ю. М. Культура и взрыв / Ю. М. Лотман. - Москва : Прогресс : Гнозис, 1992. - 271 с. </w:t>
      </w:r>
    </w:p>
    <w:p>
      <w:pPr>
        <w:numPr>
          <w:ilvl w:val="0"/>
          <w:numId w:val="7"/>
        </w:numPr>
      </w:pPr>
      <w:r>
        <w:rPr/>
        <w:t xml:space="preserve">Мифы и религии мира : учеб. пособие / [Антонова Е. В. и др. ; сост. и ред. С. Ю. Неклюдова ; худож. Михаил Гуров ; Рос. гос. гуманитарный ун-т, Ин-т высших гуманитарных исследований, Центр типологии и семиотики фольклора]. - Москва, 2004. - 428 с. </w:t>
      </w:r>
    </w:p>
    <w:p>
      <w:pPr>
        <w:numPr>
          <w:ilvl w:val="0"/>
          <w:numId w:val="7"/>
        </w:numPr>
      </w:pPr>
      <w:r>
        <w:rPr/>
        <w:t xml:space="preserve">Пивоев, В. М. Философия культуры : учебное пособие для студентов вузов, обучающихся по направлению и специальности "Культурология" / В. М. Пивоев. - [Изд. 3-е]. - Москва : Гаудеамус : Академический Проект, 2009. - 428 с. : табл. ; 21 см. - (Gaudeamus. Философия) (Учебное пособие для вузов). - Глоссарий по философии культуры: с. 408-423. </w:t>
      </w:r>
    </w:p>
    <w:p>
      <w:pPr>
        <w:numPr>
          <w:ilvl w:val="0"/>
          <w:numId w:val="7"/>
        </w:numPr>
      </w:pPr>
      <w:r>
        <w:rPr/>
        <w:t xml:space="preserve">Философия культуры : Становление и развитие : Учебное пособие / С.-Петербург. гос. ун-т ; Под ред. М.С. Когана, Ю.В. Перова, В.В. Прозерского, Э.П. Юровской. - Санкт-Петербург : Издательство С.-Петербург. ун-та, 1995. - 309 с.</w:t>
      </w:r>
    </w:p>
    <w:p>
      <w:pPr>
        <w:numPr>
          <w:ilvl w:val="0"/>
          <w:numId w:val="7"/>
        </w:numPr>
      </w:pPr>
      <w:r>
        <w:rPr/>
        <w:t xml:space="preserve">Философский энциклопедический словарь / [подготовили: А. Л. Грекулова [и др.] ; редколлегия: С. С. Аверинцев [и др.]. - 2-е изд. - Москва : Советская энциклопедия, 1989. - 815 с. ;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Аверинцев, С. С. "Морфология культуры" Освальда Шпенглера // </w:t>
      </w:r>
      <w:hyperlink r:id="rId8" w:history="1">
        <w:r>
          <w:rPr/>
          <w:t xml:space="preserve">Ежегодник философского общества СССР.1991 / Философское общество СССР. - Москва, 1991. - С.183-203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Крещение Руси и путь русской культуры // </w:t>
      </w:r>
      <w:hyperlink r:id="rId9" w:history="1">
        <w:r>
          <w:rPr/>
          <w:t xml:space="preserve">Русское зарубежье в год тысячелетия крещения Руси. - Москва, 1991. - С.52-60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Поэты. - Москва : Языки русской культуры, 1996. - 364 с. </w:t>
      </w:r>
    </w:p>
    <w:p>
      <w:pPr>
        <w:numPr>
          <w:ilvl w:val="0"/>
          <w:numId w:val="8"/>
        </w:numPr>
      </w:pPr>
      <w:r>
        <w:rPr/>
        <w:t xml:space="preserve">Аверинцев, С. С. Риторика и истоки европейской литературной традиции. - Москва : Издательство Школа "Языки русской культуры", 1996. - 447 с. ; </w:t>
      </w:r>
    </w:p>
    <w:p>
      <w:pPr>
        <w:numPr>
          <w:ilvl w:val="0"/>
          <w:numId w:val="8"/>
        </w:numPr>
      </w:pPr>
      <w:r>
        <w:rPr/>
        <w:t xml:space="preserve">Аверинцев, С. С. Язык как совместное обладание эпох и поколений // </w:t>
      </w:r>
      <w:hyperlink r:id="rId10" w:history="1">
        <w:r>
          <w:rPr/>
          <w:t xml:space="preserve">Связь времен. - Москва, 2001. - С. 59-67. </w:t>
        </w:r>
      </w:hyperlink>
    </w:p>
    <w:p>
      <w:pPr>
        <w:numPr>
          <w:ilvl w:val="0"/>
          <w:numId w:val="8"/>
        </w:numPr>
      </w:pPr>
      <w:r>
        <w:rPr/>
        <w:t xml:space="preserve">Бахтин, М. М. Автор и герой : К философским основам гуманитарных наук / Михаил Бахтин ; Сост.,вступ. ст. С.Г. Бочарова ; Примеч. С.Г. Бочарова, С.С. Аверинцева. - Санкт-Петербург : Азбука, 2000. - 333 с.</w:t>
      </w:r>
    </w:p>
    <w:p>
      <w:pPr>
        <w:numPr>
          <w:ilvl w:val="0"/>
          <w:numId w:val="8"/>
        </w:numPr>
      </w:pPr>
      <w:r>
        <w:rPr/>
        <w:t xml:space="preserve">Бибихин, В. В. К вопросу о неподвижном перводвигателе // </w:t>
      </w:r>
      <w:hyperlink r:id="rId11" w:history="1">
        <w:r>
          <w:rPr/>
          <w:t xml:space="preserve">Истина и благо: универсальное и сингулярное. - Москва, 2002. - С. 66-97. –</w:t>
        </w:r>
      </w:hyperlink>
    </w:p>
    <w:p>
      <w:pPr>
        <w:numPr>
          <w:ilvl w:val="0"/>
          <w:numId w:val="8"/>
        </w:numPr>
      </w:pPr>
      <w:r>
        <w:rPr/>
        <w:t xml:space="preserve">Бибихин, В. В. Новый ренессанс / Худож.А.Б.Орешина. - Москва : Прогресс-Традиция : Hаука, 1998. - 495 с</w:t>
      </w:r>
    </w:p>
    <w:p>
      <w:pPr>
        <w:numPr>
          <w:ilvl w:val="0"/>
          <w:numId w:val="8"/>
        </w:numPr>
      </w:pPr>
      <w:r>
        <w:rPr/>
        <w:t xml:space="preserve">Бибихин, В. В. Язык философии / Бибихин В. В. - Изд. 3-е, стер. - Санкт-Петербург : Наука, 2007. - 389 с.,</w:t>
      </w:r>
    </w:p>
    <w:p>
      <w:pPr>
        <w:numPr>
          <w:ilvl w:val="0"/>
          <w:numId w:val="8"/>
        </w:numPr>
      </w:pPr>
      <w:r>
        <w:rPr/>
        <w:t xml:space="preserve">Библер, В. С.     На гранях логики культуры : (Владимир Библер. Выбранные мысли на тему образования и культуры) / Владимир Библер // Декоративное искусство. - 2004. - N 5/6. - С. 66-67. - (Образование и культура). - Рез. англ.- Отрывки из кн.: Библер В. С. На гранях логики культуры: книга избранных очерков.- М., 1997</w:t>
      </w:r>
    </w:p>
    <w:p>
      <w:pPr>
        <w:numPr>
          <w:ilvl w:val="0"/>
          <w:numId w:val="8"/>
        </w:numPr>
      </w:pPr>
      <w:r>
        <w:rPr/>
        <w:t xml:space="preserve">Григорий Палама. Триады в защиту священно-безмолвствующих / Св. Григорий Палама ; пер. с греч., [послесл.] В. В. Бибихина. - Изд. 2-е, стер. - Санкт-Петербург : Наука, 2007. - 429 с. </w:t>
      </w:r>
    </w:p>
    <w:p>
      <w:pPr>
        <w:numPr>
          <w:ilvl w:val="0"/>
          <w:numId w:val="8"/>
        </w:numPr>
      </w:pPr>
      <w:r>
        <w:rPr/>
        <w:t xml:space="preserve">Кузнецов, А. М. (доктор исторических наук). Концепты "культура" и "цивилизация" как средство проблематизации методологии современных социально-гуманитарных наук [Текст] / А. М. Кузнецов // Философия и культура. - 2015. - № 3 (87). - С. 457-468. </w:t>
      </w:r>
    </w:p>
    <w:p>
      <w:pPr>
        <w:numPr>
          <w:ilvl w:val="0"/>
          <w:numId w:val="8"/>
        </w:numPr>
      </w:pPr>
      <w:r>
        <w:rPr/>
        <w:t xml:space="preserve">Культурология в контексте гуманитарного знания [Текст] // </w:t>
      </w:r>
      <w:hyperlink r:id="rId12" w:history="1">
        <w:r>
          <w:rPr/>
          <w:t xml:space="preserve">Вестник Российского философского общества. - 2013. - № 1 (65). - С. 187. </w:t>
        </w:r>
      </w:hyperlink>
    </w:p>
    <w:p>
      <w:pPr>
        <w:numPr>
          <w:ilvl w:val="0"/>
          <w:numId w:val="8"/>
        </w:numPr>
      </w:pPr>
      <w:r>
        <w:rPr/>
        <w:t xml:space="preserve">Левит, C. Я.     Культурология и философия: новые издания в серии "Российские Пропилеи" : [обзор] / C. Я. Левит [Текст] // Культурология. - 2018. - № 3. - С. 15-29</w:t>
      </w:r>
    </w:p>
    <w:p>
      <w:pPr>
        <w:numPr>
          <w:ilvl w:val="0"/>
          <w:numId w:val="8"/>
        </w:numPr>
      </w:pPr>
      <w:r>
        <w:rPr/>
        <w:t xml:space="preserve">М.М. Бахтин: pro et contra : Личность и творчество М.М. Бахтина в оценке русской и мировой гуманитарной мысли : Антология / Северо-Запад. отд-ние Рос. акад. образования. Рус. Христиан. гуманит. ин-т ; Сост., вступ. ст. и коммент. К.Г. Исупова, Т. 1. - Санкт-Петербург : Издательство Русского Христианского гуманитарного института, 2001. - 551 с. ; 21 см.</w:t>
      </w:r>
    </w:p>
    <w:p>
      <w:pPr>
        <w:numPr>
          <w:ilvl w:val="0"/>
          <w:numId w:val="8"/>
        </w:numPr>
      </w:pPr>
      <w:r>
        <w:rPr/>
        <w:t xml:space="preserve">Мифология : Энциклопедия / Гл. ред. Е.М. Мелетинский ; Редкол.: С.С. Аверинцев [и др.]. - Репринт. - Москва : Большая Российская энциклопедия, 2003. - 736 с.</w:t>
      </w:r>
    </w:p>
    <w:p>
      <w:pPr>
        <w:numPr>
          <w:ilvl w:val="0"/>
          <w:numId w:val="8"/>
        </w:numPr>
      </w:pPr>
      <w:r>
        <w:rPr/>
        <w:t xml:space="preserve">Монин, М. А. (кандидат философских наук; доцент).</w:t>
      </w:r>
      <w:br/>
      <w:r>
        <w:rPr/>
        <w:t xml:space="preserve">Культурология и/или culture studies / М. А. Монин [Текст] // Вестник Московского университета, Сер. 7, Философия. - 2017. - № 1. - С. 78-84. –</w:t>
      </w:r>
    </w:p>
    <w:p>
      <w:pPr>
        <w:numPr>
          <w:ilvl w:val="0"/>
          <w:numId w:val="8"/>
        </w:numPr>
      </w:pPr>
      <w:r>
        <w:rPr/>
        <w:t xml:space="preserve">Памятники средневековой латинской литературы IУ-УП веков / Рос. акад. наук, Ин-т мировой литературы им. А. М. Горького ; отв. ред. С. С. Аверинцев, М. Л. Гаспаров. - Москва : Наследие, 1998. - 471 с. 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 и модернизм: фрагменты польской традиции // Вестник Санкт-Петербургского университета. Серия 6. Философия,политология, социология, психология, право, международные отношения. - 1995. - Вып. 4. - С. 16-25.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культуры: методологическая оценка кризиса культур // </w:t>
      </w:r>
      <w:hyperlink r:id="rId13" w:history="1">
        <w:r>
          <w:rPr/>
          <w:t xml:space="preserve">Гуманитарное знание: сущность и функции: Межвуз.сб. - Санкт-Петербург, 1990. - С. 128-137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Хайдеггер, М. Бытие и время / Мартин Хайдеггер ; пер. с нем. В. В. Бибихина. - Изд. 3-е, испр. - Москва : Академический Проект, 2011. - 452 с. ; 21 см. - (Философские технологии). - Прил.: с. 438-447.</w:t>
      </w:r>
    </w:p>
    <w:p>
      <w:pPr>
        <w:numPr>
          <w:ilvl w:val="0"/>
          <w:numId w:val="8"/>
        </w:numPr>
      </w:pPr>
      <w:r>
        <w:rPr/>
        <w:t xml:space="preserve">Хайдеггер, М. Время и бытие : статьи и выступления / Мартин Хайдеггер ; пер. с нем. В. В. Бибихина. - Санкт-Петербург : Наука, 2007. - 621 с. ; 22 см. - (Слово о сущем ; Т. 70). - Примеч.: с. 563-603. - Темат. указ.: с. 604-617.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 </w:t>
      </w:r>
    </w:p>
    <w:p>
      <w:pPr/>
      <w:r>
        <w:rPr/>
        <w:t xml:space="preserve">1. Пакет Microsoft Office 2007-2010 (Word, Excel, Power Point) </w:t>
      </w:r>
    </w:p>
    <w:p>
      <w:pPr/>
      <w:r>
        <w:rPr/>
        <w:t xml:space="preserve">2. Пакет для просмотра и печати документов Adobe Acrobat Reader </w:t>
      </w:r>
    </w:p>
    <w:p>
      <w:pPr/>
      <w:r>
        <w:rPr/>
        <w:t xml:space="preserve">3. Средства поиска информации в глобальной сети Интернет и веб-пространстве: MS Internet Explorer, Mozilla Firefox, Opera и др. </w:t>
      </w:r>
    </w:p>
    <w:p>
      <w:pPr/>
      <w:r>
        <w:rPr/>
        <w:t xml:space="preserve">б) интернет-ресурсы </w:t>
      </w:r>
    </w:p>
    <w:p>
      <w:pPr/>
      <w:r>
        <w:rPr/>
        <w:t xml:space="preserve">Электронный каталог Научной библиотеки ПетрГУ. URL:  </w:t>
      </w:r>
      <w:hyperlink r:id="rId14" w:history="1">
        <w:r>
          <w:rPr/>
          <w:t xml:space="preserve">http://foliant.ru/catalog/psulibr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онлайн». URL:  </w:t>
      </w:r>
      <w:hyperlink r:id="rId15" w:history="1">
        <w:r>
          <w:rPr/>
          <w:t xml:space="preserve">http://biblioclub.ru/</w:t>
        </w:r>
      </w:hyperlink>
      <w:r>
        <w:rPr/>
        <w:t xml:space="preserve">  </w:t>
      </w:r>
    </w:p>
    <w:p>
      <w:pPr/>
      <w:r>
        <w:rPr/>
        <w:t xml:space="preserve">Библиотека Петрозаводского государственного университета. URL:  </w:t>
      </w:r>
      <w:hyperlink r:id="rId16" w:history="1">
        <w:r>
          <w:rPr/>
          <w:t xml:space="preserve">http://library.petrsu.ru</w:t>
        </w:r>
      </w:hyperlink>
      <w:r>
        <w:rPr/>
        <w:t xml:space="preserve"> </w:t>
      </w:r>
    </w:p>
    <w:p>
      <w:pPr/>
      <w:r>
        <w:rPr/>
        <w:t xml:space="preserve">Библиотека СПбГУ. URL:  </w:t>
      </w:r>
      <w:hyperlink r:id="rId17" w:history="1">
        <w:r>
          <w:rPr/>
          <w:t xml:space="preserve">http://www.lib.pu.ru</w:t>
        </w:r>
      </w:hyperlink>
      <w:r>
        <w:rPr/>
        <w:t xml:space="preserve"> </w:t>
      </w:r>
    </w:p>
    <w:p>
      <w:pPr/>
      <w:r>
        <w:rPr/>
        <w:t xml:space="preserve">Библиотека Максима Мошкова. URL:   http://lib.ru </w:t>
      </w:r>
    </w:p>
    <w:p>
      <w:pPr/>
      <w:r>
        <w:rPr/>
        <w:t xml:space="preserve">Российская национальная библиотека. URL:  </w:t>
      </w:r>
      <w:hyperlink r:id="rId18" w:history="1">
        <w:r>
          <w:rPr/>
          <w:t xml:space="preserve">http://www.nlr.ru</w:t>
        </w:r>
      </w:hyperlink>
      <w:r>
        <w:rPr/>
        <w:t xml:space="preserve"> </w:t>
      </w:r>
    </w:p>
    <w:p>
      <w:pPr/>
      <w:r>
        <w:rPr/>
        <w:t xml:space="preserve">Сайт Института Философии Российской Академии Наук. URL:  </w:t>
      </w:r>
      <w:hyperlink r:id="rId19" w:history="1">
        <w:r>
          <w:rPr/>
          <w:t xml:space="preserve">http://www.philosophy.ru</w:t>
        </w:r>
      </w:hyperlink>
      <w:r>
        <w:rPr/>
        <w:t xml:space="preserve"> </w:t>
      </w:r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Университета. URL:  </w:t>
      </w:r>
      <w:hyperlink r:id="rId20" w:history="1">
        <w:r>
          <w:rPr/>
          <w:t xml:space="preserve">http://www.antropology.ru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7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B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1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B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2A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FB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48614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0B4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38C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%C2%A0" TargetMode="External"/><Relationship Id="rId8" Type="http://schemas.openxmlformats.org/officeDocument/2006/relationships/hyperlink" Target="http://foliant.ru/catalog/psulibr?BOOK_UP+000155+072E73+-1+-1" TargetMode="External"/><Relationship Id="rId9" Type="http://schemas.openxmlformats.org/officeDocument/2006/relationships/hyperlink" Target="http://foliant.ru/catalog/psulibr?BOOK_UP+000155+04CA91+-1+-1" TargetMode="External"/><Relationship Id="rId10" Type="http://schemas.openxmlformats.org/officeDocument/2006/relationships/hyperlink" Target="http://foliant.ru/catalog/psulibr?BOOK_UP+000155+1149BA+-1+-1" TargetMode="External"/><Relationship Id="rId11" Type="http://schemas.openxmlformats.org/officeDocument/2006/relationships/hyperlink" Target="http://foliant.ru/catalog/psulibr?BOOK_UP+000155+363FC1+-1+-1" TargetMode="External"/><Relationship Id="rId12" Type="http://schemas.openxmlformats.org/officeDocument/2006/relationships/hyperlink" Target="http://foliant.ru/catalog/psulibr?BOOK_UP+000DAD+59DC6C+-1+-1" TargetMode="External"/><Relationship Id="rId13" Type="http://schemas.openxmlformats.org/officeDocument/2006/relationships/hyperlink" Target="http://foliant.ru/catalog/psulibr?BOOK_UP+000155+04FE90+-1+-1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17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18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19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20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2026-04-23T18:59:25+03:00</dcterms:created>
  <dcterms:modified xsi:type="dcterms:W3CDTF">2026-04-23T18:59:25+03:00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